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eastAsia="黑体"/>
        </w:rPr>
        <w:t>附件</w:t>
      </w:r>
    </w:p>
    <w:p>
      <w:pPr>
        <w:spacing w:line="560" w:lineRule="exact"/>
        <w:jc w:val="left"/>
        <w:rPr>
          <w:rFonts w:hint="eastAsia" w:ascii="仿宋" w:hAnsi="仿宋" w:eastAsia="仿宋" w:cs="仿宋"/>
          <w:sz w:val="32"/>
          <w:szCs w:val="32"/>
        </w:rPr>
      </w:pPr>
    </w:p>
    <w:p>
      <w:pPr>
        <w:jc w:val="center"/>
        <w:rPr>
          <w:rFonts w:hint="eastAsia" w:ascii="方正小标宋简体" w:hAnsi="方正小标宋简体" w:eastAsia="方正小标宋简体" w:cs="方正小标宋简体"/>
          <w:sz w:val="44"/>
          <w:szCs w:val="44"/>
        </w:rPr>
      </w:pPr>
      <w:bookmarkStart w:id="6" w:name="_GoBack"/>
      <w:r>
        <w:rPr>
          <w:rFonts w:hint="eastAsia" w:ascii="方正小标宋简体" w:hAnsi="方正小标宋简体" w:eastAsia="方正小标宋简体" w:cs="方正小标宋简体"/>
          <w:sz w:val="44"/>
          <w:szCs w:val="44"/>
        </w:rPr>
        <w:t>宁德市区域点数法总额预算和按病种分值付费（DIP）考核评分表</w:t>
      </w:r>
      <w:bookmarkEnd w:id="6"/>
    </w:p>
    <w:tbl>
      <w:tblPr>
        <w:tblStyle w:val="5"/>
        <w:tblpPr w:leftFromText="180" w:rightFromText="180" w:vertAnchor="text" w:horzAnchor="page" w:tblpX="1505" w:tblpY="481"/>
        <w:tblOverlap w:val="never"/>
        <w:tblW w:w="13886" w:type="dxa"/>
        <w:tblInd w:w="0" w:type="dxa"/>
        <w:tblLayout w:type="fixed"/>
        <w:tblCellMar>
          <w:top w:w="0" w:type="dxa"/>
          <w:left w:w="108" w:type="dxa"/>
          <w:bottom w:w="0" w:type="dxa"/>
          <w:right w:w="108" w:type="dxa"/>
        </w:tblCellMar>
      </w:tblPr>
      <w:tblGrid>
        <w:gridCol w:w="1200"/>
        <w:gridCol w:w="746"/>
        <w:gridCol w:w="1221"/>
        <w:gridCol w:w="789"/>
        <w:gridCol w:w="9930"/>
      </w:tblGrid>
      <w:tr>
        <w:tblPrEx>
          <w:tblCellMar>
            <w:top w:w="0" w:type="dxa"/>
            <w:left w:w="108" w:type="dxa"/>
            <w:bottom w:w="0" w:type="dxa"/>
            <w:right w:w="108" w:type="dxa"/>
          </w:tblCellMar>
        </w:tblPrEx>
        <w:trPr>
          <w:trHeight w:val="4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一级指标</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分值</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二级指标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分值</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评分标准</w:t>
            </w:r>
          </w:p>
        </w:tc>
      </w:tr>
      <w:tr>
        <w:tblPrEx>
          <w:tblCellMar>
            <w:top w:w="0" w:type="dxa"/>
            <w:left w:w="108" w:type="dxa"/>
            <w:bottom w:w="0" w:type="dxa"/>
            <w:right w:w="108" w:type="dxa"/>
          </w:tblCellMar>
        </w:tblPrEx>
        <w:trPr>
          <w:trHeight w:val="2222"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w:t>
            </w:r>
            <w:r>
              <w:rPr>
                <w:rFonts w:hint="eastAsia" w:ascii="宋体" w:hAnsi="宋体" w:eastAsia="宋体" w:cs="宋体"/>
                <w:color w:val="auto"/>
                <w:kern w:val="0"/>
                <w:sz w:val="20"/>
                <w:szCs w:val="20"/>
                <w:lang w:bidi="ar"/>
              </w:rPr>
              <w:t>一）组织管理与制度建设</w:t>
            </w:r>
          </w:p>
        </w:tc>
        <w:tc>
          <w:tcPr>
            <w:tcW w:w="74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20</w:t>
            </w:r>
          </w:p>
        </w:tc>
        <w:tc>
          <w:tcPr>
            <w:tcW w:w="1221"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组织体系建设</w:t>
            </w:r>
          </w:p>
        </w:tc>
        <w:tc>
          <w:tcPr>
            <w:tcW w:w="789"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993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1.组织体系：提供DIP组织体系构成情况，确认分管领导；</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2.编码员：每个临床科室均需指定一名编码员；病案科室专职编码员配备，三级医院需</w:t>
            </w:r>
            <w:r>
              <w:rPr>
                <w:rFonts w:hint="eastAsia" w:ascii="宋体" w:hAnsi="宋体" w:eastAsia="宋体" w:cs="宋体"/>
                <w:sz w:val="20"/>
                <w:szCs w:val="20"/>
                <w:lang w:bidi="ar"/>
              </w:rPr>
              <w:t>6名以上，二级综合性医院需3名以上，二级中医院及其他二级专科医院需2名以上，一级医院需1名以上（编</w:t>
            </w:r>
            <w:r>
              <w:rPr>
                <w:rFonts w:hint="eastAsia" w:ascii="宋体" w:hAnsi="宋体" w:eastAsia="宋体" w:cs="宋体"/>
                <w:color w:val="auto"/>
                <w:kern w:val="0"/>
                <w:sz w:val="20"/>
                <w:szCs w:val="20"/>
                <w:lang w:bidi="ar"/>
              </w:rPr>
              <w:t>码员：需具备了解DIP相关的病案编码基础知识）；</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3.联络员：医保科需配置至少一名编码问题联络人员，对接反馈DIP编码和DIP入组审核问题；</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4.以上每少一名扣1分，医疗机构提供具体名单和联系方式汇总表。</w:t>
            </w:r>
          </w:p>
        </w:tc>
      </w:tr>
      <w:tr>
        <w:tblPrEx>
          <w:tblCellMar>
            <w:top w:w="0" w:type="dxa"/>
            <w:left w:w="108" w:type="dxa"/>
            <w:bottom w:w="0" w:type="dxa"/>
            <w:right w:w="108" w:type="dxa"/>
          </w:tblCellMar>
        </w:tblPrEx>
        <w:trPr>
          <w:trHeight w:val="90"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746"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管理体系建设</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1.绩效管理：DIP绩效管理制度，引导成本管理控制，鼓励医务人员多劳多得，优劳优得；</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2.成本管理：运营精细化管理制度，基于临床路径的病种和病组成本管理；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3.学科管理：基于本院实际情况的重点临床学科规划和病种组的精细化管理；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4.二级及以上医疗机构提供相关证明材料，一级医疗机构提供年度总结报告，每项2分。</w:t>
            </w:r>
          </w:p>
        </w:tc>
      </w:tr>
      <w:tr>
        <w:tblPrEx>
          <w:tblCellMar>
            <w:top w:w="0" w:type="dxa"/>
            <w:left w:w="108" w:type="dxa"/>
            <w:bottom w:w="0" w:type="dxa"/>
            <w:right w:w="108" w:type="dxa"/>
          </w:tblCellMar>
        </w:tblPrEx>
        <w:trPr>
          <w:trHeight w:val="2845"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746"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信息系统建设</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6</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根据《宁德市医疗保障基金中心转发福建省医疗保障基金中心关于开展医院自助终端医保服务改造的通知》《宁德市医疗保障局转发福建省医疗保障局关于组织定点医药机构建设国家医疗保障信息平台标准接口的通知》，将医疗机构国家医保接口改造及医院自助终端医保服务改造情况纳入年度考核，按文件规定完成接口改造及自助终端医保服务改造的，得2分；</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查验二级及以上医疗机构是否有对本院DIP病种管理、相关数据开展分析解读等，形成医疗机构院内DIP数据分析应用体系，可提供相关佐证的，得2分；查验一级医疗机构是否有对本院DIP病种管理，提供相关佐证的，得2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3、按照医保信息业务编码标准化工作要求，完成各项医疗保障信息业务编码的贯标工作，能按《标准化截图模板》（另需针对新增药学、技术人员编码应用界面截图）提供相应佐证的，得2分。</w:t>
            </w:r>
          </w:p>
        </w:tc>
      </w:tr>
      <w:tr>
        <w:tblPrEx>
          <w:tblCellMar>
            <w:top w:w="0" w:type="dxa"/>
            <w:left w:w="108" w:type="dxa"/>
            <w:bottom w:w="0" w:type="dxa"/>
            <w:right w:w="108" w:type="dxa"/>
          </w:tblCellMar>
        </w:tblPrEx>
        <w:trPr>
          <w:trHeight w:val="1080"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746" w:type="dxa"/>
            <w:vMerge w:val="continue"/>
            <w:tcBorders>
              <w:top w:val="nil"/>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进行</w:t>
            </w:r>
            <w:r>
              <w:rPr>
                <w:rFonts w:eastAsia="宋体"/>
                <w:color w:val="auto"/>
                <w:kern w:val="0"/>
                <w:sz w:val="20"/>
                <w:szCs w:val="20"/>
                <w:lang w:bidi="ar"/>
              </w:rPr>
              <w:t>DIP</w:t>
            </w:r>
            <w:r>
              <w:rPr>
                <w:rFonts w:hint="eastAsia" w:ascii="宋体" w:hAnsi="宋体" w:eastAsia="宋体" w:cs="宋体"/>
                <w:color w:val="auto"/>
                <w:kern w:val="0"/>
                <w:sz w:val="20"/>
                <w:szCs w:val="20"/>
                <w:lang w:bidi="ar"/>
              </w:rPr>
              <w:t>政策宣传培训</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医疗机构开展有关DIP政策培训活动，定期考核医护人员熟练掌握DIP医疗保险政策情况，并记录培训和考核结果。未制定培训、考核计划扣1分；未按计划开展DIP政策宣传工作扣1分，无培训和考核结果记录扣1分。</w:t>
            </w:r>
          </w:p>
        </w:tc>
      </w:tr>
      <w:tr>
        <w:tblPrEx>
          <w:tblCellMar>
            <w:top w:w="0" w:type="dxa"/>
            <w:left w:w="108" w:type="dxa"/>
            <w:bottom w:w="0" w:type="dxa"/>
            <w:right w:w="108" w:type="dxa"/>
          </w:tblCellMar>
        </w:tblPrEx>
        <w:trPr>
          <w:trHeight w:val="1320" w:hRule="atLeast"/>
        </w:trPr>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（二）</w:t>
            </w:r>
            <w:r>
              <w:rPr>
                <w:rFonts w:eastAsia="宋体"/>
                <w:color w:val="auto"/>
                <w:kern w:val="0"/>
                <w:sz w:val="20"/>
                <w:szCs w:val="20"/>
                <w:lang w:bidi="ar"/>
              </w:rPr>
              <w:t>DIP</w:t>
            </w:r>
            <w:r>
              <w:rPr>
                <w:rFonts w:hint="eastAsia" w:ascii="宋体" w:hAnsi="宋体" w:eastAsia="宋体" w:cs="宋体"/>
                <w:color w:val="auto"/>
                <w:kern w:val="0"/>
                <w:sz w:val="20"/>
                <w:szCs w:val="20"/>
                <w:lang w:bidi="ar"/>
              </w:rPr>
              <w:t>工作质量</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22</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结算清单填报质量</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1.体现结算清单的填报质量，审核住院结算清算的完整性、规范性以及入组病种的真实性、合理性；</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2.现场随机抽查，经认定医保结算清单填报质量不及格的，按不合格病历例数扣分；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3.三级医院50份病历，每份病历0.8分；二级医院30份，每份病历0.6分；一级医院20份，每份病历0.4分。</w:t>
            </w:r>
          </w:p>
        </w:tc>
      </w:tr>
      <w:tr>
        <w:tblPrEx>
          <w:tblCellMar>
            <w:top w:w="0" w:type="dxa"/>
            <w:left w:w="108" w:type="dxa"/>
            <w:bottom w:w="0" w:type="dxa"/>
            <w:right w:w="108" w:type="dxa"/>
          </w:tblCellMar>
        </w:tblPrEx>
        <w:trPr>
          <w:trHeight w:val="122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结算清单重传率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1.在剔除医保政策原因导致的结算清单重传因素后，结算清单重传率=结算清单总上传人次数/医院DIP结算总病例数*100%-1；</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2.同等级医院（三级医院、二级中医综合医院、其他二级医院、一级医院）（下同）比较，高于平均分的，每高1%，扣1分。</w:t>
            </w:r>
          </w:p>
        </w:tc>
      </w:tr>
      <w:tr>
        <w:tblPrEx>
          <w:tblCellMar>
            <w:top w:w="0" w:type="dxa"/>
            <w:left w:w="108" w:type="dxa"/>
            <w:bottom w:w="0" w:type="dxa"/>
            <w:right w:w="108" w:type="dxa"/>
          </w:tblCellMar>
        </w:tblPrEx>
        <w:trPr>
          <w:trHeight w:val="124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病种入组率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1.扣除当年新增病种后，住院病种入组率=DIP病种入组病例数/医院DIP结算总病例数*100%；</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2.本年度减去上年度，每降低1%，且低于同等级医疗机构平均值的，每低1%，扣1分；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3.当年度新增DIP试点医院，不做考核，基础分3分。</w:t>
            </w:r>
          </w:p>
        </w:tc>
      </w:tr>
      <w:tr>
        <w:tblPrEx>
          <w:tblCellMar>
            <w:top w:w="0" w:type="dxa"/>
            <w:left w:w="108" w:type="dxa"/>
            <w:bottom w:w="0" w:type="dxa"/>
            <w:right w:w="108" w:type="dxa"/>
          </w:tblCellMar>
        </w:tblPrEx>
        <w:trPr>
          <w:trHeight w:val="136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基层病种收治率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5或3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1.住院基层病种的收治率=基层病种执行人次/医院纳入DIP的总病例数*100%；</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2.三级医院，同等级医院比较，高于平均值的，每高1%，扣0.5分；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3.其他二级医院、二级中医综合医院、一级医院，基础分3分，同等级医院比较，高于平均值的，每高1%，得1分，最高加2分。</w:t>
            </w:r>
          </w:p>
        </w:tc>
      </w:tr>
      <w:tr>
        <w:tblPrEx>
          <w:tblCellMar>
            <w:top w:w="0" w:type="dxa"/>
            <w:left w:w="108" w:type="dxa"/>
            <w:bottom w:w="0" w:type="dxa"/>
            <w:right w:w="108" w:type="dxa"/>
          </w:tblCellMar>
        </w:tblPrEx>
        <w:trPr>
          <w:trHeight w:val="1808"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u w:val="single"/>
              </w:rPr>
            </w:pPr>
            <w:r>
              <w:rPr>
                <w:rFonts w:hint="eastAsia" w:ascii="宋体" w:hAnsi="宋体" w:eastAsia="宋体" w:cs="宋体"/>
                <w:color w:val="auto"/>
                <w:kern w:val="0"/>
                <w:sz w:val="20"/>
                <w:szCs w:val="20"/>
                <w:lang w:bidi="ar"/>
              </w:rPr>
              <w:t>市内（县域内）就诊率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宋体"/>
                <w:color w:val="auto"/>
                <w:sz w:val="20"/>
                <w:szCs w:val="20"/>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1.市级医疗机构考核市内就诊率，市内就诊率=全市参保人市内医院住院人次/总住院人次*100%，本年度减去上年度，每降低1%，扣1分；</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2.医共体总医院考核本县县域就诊率，县域就诊率=全县参保人县域内住院人次/总住院人次*100%，本年度减去上年度，每降低1%，扣县医院（县总医院）1分；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3.其他医院不做考核，基础分3分。</w:t>
            </w:r>
          </w:p>
        </w:tc>
      </w:tr>
      <w:tr>
        <w:tblPrEx>
          <w:tblCellMar>
            <w:top w:w="0" w:type="dxa"/>
            <w:left w:w="108" w:type="dxa"/>
            <w:bottom w:w="0" w:type="dxa"/>
            <w:right w:w="108" w:type="dxa"/>
          </w:tblCellMar>
        </w:tblPrEx>
        <w:trPr>
          <w:trHeight w:val="1000" w:hRule="atLeast"/>
        </w:trPr>
        <w:tc>
          <w:tcPr>
            <w:tcW w:w="1200" w:type="dxa"/>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（三）医疗服务质量（住院）</w:t>
            </w:r>
          </w:p>
        </w:tc>
        <w:tc>
          <w:tcPr>
            <w:tcW w:w="7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参保人员个人负担比例</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1.个人负担比例=（总费用-总基金支付）/总费用*100%；</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2.城乡居民和城镇职工分别计算，本年度减去上年度，每提高1%，扣1分。</w:t>
            </w:r>
          </w:p>
        </w:tc>
      </w:tr>
      <w:tr>
        <w:tblPrEx>
          <w:tblCellMar>
            <w:top w:w="0" w:type="dxa"/>
            <w:left w:w="108" w:type="dxa"/>
            <w:bottom w:w="0" w:type="dxa"/>
            <w:right w:w="108" w:type="dxa"/>
          </w:tblCellMar>
        </w:tblPrEx>
        <w:trPr>
          <w:trHeight w:val="1000" w:hRule="atLeast"/>
        </w:trPr>
        <w:tc>
          <w:tcPr>
            <w:tcW w:w="1200"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住院次均费用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1.住院次均费用=住院医疗总费用/总出院人次；</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2.本年度/上年度*100%-1，每提高1%，扣1分。</w:t>
            </w:r>
          </w:p>
        </w:tc>
      </w:tr>
      <w:tr>
        <w:tblPrEx>
          <w:tblCellMar>
            <w:top w:w="0" w:type="dxa"/>
            <w:left w:w="108" w:type="dxa"/>
            <w:bottom w:w="0" w:type="dxa"/>
            <w:right w:w="108" w:type="dxa"/>
          </w:tblCellMar>
        </w:tblPrEx>
        <w:trPr>
          <w:trHeight w:val="1000" w:hRule="atLeast"/>
        </w:trPr>
        <w:tc>
          <w:tcPr>
            <w:tcW w:w="1200"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平均住院日</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1.平均住院天数=住院总床日数/总出院人次；</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2.本年度比上年度有提高的，扣1分。</w:t>
            </w:r>
          </w:p>
        </w:tc>
      </w:tr>
      <w:tr>
        <w:tblPrEx>
          <w:tblCellMar>
            <w:top w:w="0" w:type="dxa"/>
            <w:left w:w="108" w:type="dxa"/>
            <w:bottom w:w="0" w:type="dxa"/>
            <w:right w:w="108" w:type="dxa"/>
          </w:tblCellMar>
        </w:tblPrEx>
        <w:trPr>
          <w:trHeight w:val="1125" w:hRule="atLeast"/>
        </w:trPr>
        <w:tc>
          <w:tcPr>
            <w:tcW w:w="1200" w:type="dxa"/>
            <w:vMerge w:val="continue"/>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人数人次比</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1.人数人次比=总住院人数/总出院人次*100%；</w:t>
            </w:r>
          </w:p>
          <w:p>
            <w:pPr>
              <w:widowControl/>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2.同等级医院比较，低于平均分的，每低1%，扣1分；</w:t>
            </w:r>
          </w:p>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3.一级医疗机构不考核，基础分3分。</w:t>
            </w:r>
          </w:p>
        </w:tc>
      </w:tr>
      <w:tr>
        <w:tblPrEx>
          <w:tblCellMar>
            <w:top w:w="0" w:type="dxa"/>
            <w:left w:w="108" w:type="dxa"/>
            <w:bottom w:w="0" w:type="dxa"/>
            <w:right w:w="108" w:type="dxa"/>
          </w:tblCellMar>
        </w:tblPrEx>
        <w:trPr>
          <w:trHeight w:val="1338" w:hRule="atLeast"/>
        </w:trPr>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（四）医保电子凭证</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sz w:val="20"/>
                <w:szCs w:val="20"/>
              </w:rPr>
              <w:t>医保电子凭证结算人次占比</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1.体现医疗机构医保电子凭证结算人次占比，占比=参保人员在该医疗机构使用医保电子凭证就医结算人次/参保人员在该医疗机构医保结算总人次*100%；</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2.2022年1-12月，医保电子凭证结算率达10%，得1分；达15%，得1.5分；达25%，得2.5分；达35%及以上，得4分。</w:t>
            </w:r>
          </w:p>
        </w:tc>
      </w:tr>
      <w:tr>
        <w:tblPrEx>
          <w:tblCellMar>
            <w:top w:w="0" w:type="dxa"/>
            <w:left w:w="108" w:type="dxa"/>
            <w:bottom w:w="0" w:type="dxa"/>
            <w:right w:w="108" w:type="dxa"/>
          </w:tblCellMar>
        </w:tblPrEx>
        <w:trPr>
          <w:trHeight w:val="1351"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1221" w:type="dxa"/>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医保移动支付</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1.二级及二级以上定点医疗机构和“社会办医”医疗机构均应对接国家医保移动支付服务，完成院内HIS系统对接改造并正式上线使用，完成得3分；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2.通过医保移动支付结算笔数占总结算笔数的比例高于或等于10%的，得1分；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3.一级及使用基卫系统的医疗机构暂不考核，基础得分4分。</w:t>
            </w:r>
          </w:p>
        </w:tc>
      </w:tr>
      <w:tr>
        <w:tblPrEx>
          <w:tblCellMar>
            <w:top w:w="0" w:type="dxa"/>
            <w:left w:w="108" w:type="dxa"/>
            <w:bottom w:w="0" w:type="dxa"/>
            <w:right w:w="108" w:type="dxa"/>
          </w:tblCellMar>
        </w:tblPrEx>
        <w:trPr>
          <w:trHeight w:val="129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1221" w:type="dxa"/>
            <w:tcBorders>
              <w:top w:val="single" w:color="auto"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auto"/>
                <w:sz w:val="20"/>
                <w:szCs w:val="20"/>
              </w:rPr>
            </w:pPr>
            <w:r>
              <w:rPr>
                <w:rFonts w:hint="eastAsia" w:ascii="宋体" w:hAnsi="宋体" w:eastAsia="宋体" w:cs="宋体"/>
                <w:color w:val="auto"/>
                <w:sz w:val="20"/>
                <w:szCs w:val="20"/>
              </w:rPr>
              <w:t>全流程运用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1.二级及二级以上定点医疗机构，应实现医保电子凭证在挂号、就诊、支付、取药、取报告等就医服务的全流程使用。实现得2分，每一项未实现在2分基础上扣0.5分，扣完为止；</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2.二级（不含二级）以下暂不考核，基础得分1分，完成医保电子凭证全流程使用的，可得2分。</w:t>
            </w:r>
          </w:p>
        </w:tc>
      </w:tr>
      <w:tr>
        <w:tblPrEx>
          <w:tblCellMar>
            <w:top w:w="0" w:type="dxa"/>
            <w:left w:w="108" w:type="dxa"/>
            <w:bottom w:w="0" w:type="dxa"/>
            <w:right w:w="108" w:type="dxa"/>
          </w:tblCellMar>
        </w:tblPrEx>
        <w:trPr>
          <w:trHeight w:val="100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1221"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宣传推广</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1.2022年将医保电子凭证及医保移动支付的推广应用纳入院内绩效考核的，得2分；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2.每召开一次医保电子凭证暨医保移动支付宣传推广动员会得1分，最高2分。</w:t>
            </w:r>
          </w:p>
        </w:tc>
      </w:tr>
      <w:tr>
        <w:tblPrEx>
          <w:tblCellMar>
            <w:top w:w="0" w:type="dxa"/>
            <w:left w:w="108" w:type="dxa"/>
            <w:bottom w:w="0" w:type="dxa"/>
            <w:right w:w="108" w:type="dxa"/>
          </w:tblCellMar>
        </w:tblPrEx>
        <w:trPr>
          <w:trHeight w:val="106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1221" w:type="dxa"/>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医保电子凭证从业人员激活率</w:t>
            </w:r>
          </w:p>
        </w:tc>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1.医保从业人员激活率,体现医疗机构医保相关医药从业人员的医保电子凭证激活情况,分子：医院贯标从业人员医保电子凭证激活数；分母：医院贯标从业总人数；</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2.激活率达95%以上，得1分，低于95%不得分；</w:t>
            </w:r>
          </w:p>
        </w:tc>
      </w:tr>
      <w:tr>
        <w:tblPrEx>
          <w:tblCellMar>
            <w:top w:w="0" w:type="dxa"/>
            <w:left w:w="108" w:type="dxa"/>
            <w:bottom w:w="0" w:type="dxa"/>
            <w:right w:w="108" w:type="dxa"/>
          </w:tblCellMar>
        </w:tblPrEx>
        <w:trPr>
          <w:trHeight w:val="1203" w:hRule="atLeast"/>
        </w:trPr>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(五)药械采购情况</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122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药采结算情况</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1.按市医保中心及各管理部收款通知书要求及时将药械采购补差款及时转入市医保中心及各管理部指定账户；</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2.年度内，医院药械采购补差款每延迟转入一次扣1分；超过三次以上直接扣5分；</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3.“社会办医”医疗机构，该分值平均归于稽核。</w:t>
            </w:r>
          </w:p>
        </w:tc>
      </w:tr>
      <w:tr>
        <w:tblPrEx>
          <w:tblCellMar>
            <w:top w:w="0" w:type="dxa"/>
            <w:left w:w="108" w:type="dxa"/>
            <w:bottom w:w="0" w:type="dxa"/>
            <w:right w:w="108" w:type="dxa"/>
          </w:tblCellMar>
        </w:tblPrEx>
        <w:trPr>
          <w:trHeight w:val="219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集中采购中选药品采购和使用</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自新版医保药品目录执行起2个月内召开药事会议研究国家谈判药品配备情况得0.3分，未在规定时间召开不得分；相关佐证材料已向医保部门备案得0.2分，未备案不得分；国家谈判“双通道”药品纳入院内采购目录的品种数量不低于上年度医疗机构实际采购使用的国谈“双通道”药品品种数量，得0.5分，每少1种扣0.1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2.国家、省、市组织药品、医用耗材集中带量采购中选品种协议期内（协议的完整周期）完成率≥100%得4分，每少1个品种未完成扣0.1分，扣完为止；</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3.“社会办医”医疗机构，该分值平均归于稽核。</w:t>
            </w:r>
          </w:p>
        </w:tc>
      </w:tr>
      <w:tr>
        <w:tblPrEx>
          <w:tblCellMar>
            <w:top w:w="0" w:type="dxa"/>
            <w:left w:w="108" w:type="dxa"/>
            <w:bottom w:w="0" w:type="dxa"/>
            <w:right w:w="108" w:type="dxa"/>
          </w:tblCellMar>
        </w:tblPrEx>
        <w:trPr>
          <w:trHeight w:val="13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（六）稽核管理</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eastAsia="宋体"/>
                <w:color w:val="auto"/>
                <w:sz w:val="20"/>
                <w:szCs w:val="20"/>
              </w:rPr>
            </w:pPr>
            <w:r>
              <w:rPr>
                <w:rFonts w:eastAsia="宋体"/>
                <w:color w:val="auto"/>
                <w:kern w:val="0"/>
                <w:sz w:val="20"/>
                <w:szCs w:val="20"/>
                <w:lang w:bidi="ar"/>
              </w:rPr>
              <w:t>20</w:t>
            </w:r>
            <w:r>
              <w:rPr>
                <w:rFonts w:hint="eastAsia" w:ascii="宋体" w:hAnsi="宋体" w:eastAsia="宋体" w:cs="宋体"/>
                <w:color w:val="auto"/>
                <w:kern w:val="0"/>
                <w:sz w:val="20"/>
                <w:szCs w:val="20"/>
                <w:lang w:bidi="ar"/>
              </w:rPr>
              <w:t>（社会机构</w:t>
            </w:r>
            <w:r>
              <w:rPr>
                <w:rFonts w:eastAsia="宋体"/>
                <w:color w:val="auto"/>
                <w:kern w:val="0"/>
                <w:sz w:val="20"/>
                <w:szCs w:val="20"/>
                <w:lang w:bidi="ar"/>
              </w:rPr>
              <w:t>30</w:t>
            </w:r>
            <w:r>
              <w:rPr>
                <w:rFonts w:hint="eastAsia" w:ascii="宋体" w:hAnsi="宋体" w:eastAsia="宋体" w:cs="宋体"/>
                <w:color w:val="auto"/>
                <w:kern w:val="0"/>
                <w:sz w:val="20"/>
                <w:szCs w:val="20"/>
                <w:lang w:bidi="ar"/>
              </w:rPr>
              <w:t>分，基础扣分也相应增加）</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年度医保不予支付费用占比</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3(社会机构5)</w:t>
            </w:r>
          </w:p>
        </w:tc>
        <w:tc>
          <w:tcPr>
            <w:tcW w:w="9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1.因医保违规行为，线上线下稽核中年度医保不予支付的费用占年度医保基金实际发生额的比值，比值=年度医保不予支付的费用（住院）/年度医保基金实际发生额（住院）；</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2.同等级医院比较，三级医院、二级医院，二级中医综合医院、一级医院，高于同等级医院平均值的，每高0.1%扣1分（不足0.1%的按照0.1%计算）。</w:t>
            </w:r>
          </w:p>
        </w:tc>
      </w:tr>
      <w:tr>
        <w:tblPrEx>
          <w:tblCellMar>
            <w:top w:w="0" w:type="dxa"/>
            <w:left w:w="108" w:type="dxa"/>
            <w:bottom w:w="0" w:type="dxa"/>
            <w:right w:w="108" w:type="dxa"/>
          </w:tblCellMar>
        </w:tblPrEx>
        <w:trPr>
          <w:trHeight w:val="10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color w:val="auto"/>
                <w:sz w:val="21"/>
                <w:szCs w:val="21"/>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DIP组别高套病例</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5(社会机构7.5)</w:t>
            </w:r>
          </w:p>
        </w:tc>
        <w:tc>
          <w:tcPr>
            <w:tcW w:w="9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年度考核（二级及以上医疗机构抽取50份，一级医疗机构抽取30份，不足30份全部抽取），每发现1例被认定组别高套的，扣减0.5分，扣完为止。</w:t>
            </w:r>
          </w:p>
        </w:tc>
      </w:tr>
      <w:tr>
        <w:tblPrEx>
          <w:tblCellMar>
            <w:top w:w="0" w:type="dxa"/>
            <w:left w:w="108" w:type="dxa"/>
            <w:bottom w:w="0" w:type="dxa"/>
            <w:right w:w="108" w:type="dxa"/>
          </w:tblCellMar>
        </w:tblPrEx>
        <w:trPr>
          <w:trHeight w:val="9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color w:val="auto"/>
                <w:sz w:val="21"/>
                <w:szCs w:val="21"/>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分解住院病历</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5(社会机构7.5)</w:t>
            </w:r>
          </w:p>
        </w:tc>
        <w:tc>
          <w:tcPr>
            <w:tcW w:w="9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年度考核（二级及以上医疗机构抽取50份，一级医疗机构抽取30份，不足30份全部抽取），每发现1例被认定分解住院病历的，扣减0.5分，扣完为止。</w:t>
            </w:r>
          </w:p>
        </w:tc>
      </w:tr>
      <w:tr>
        <w:tblPrEx>
          <w:tblCellMar>
            <w:top w:w="0" w:type="dxa"/>
            <w:left w:w="108" w:type="dxa"/>
            <w:bottom w:w="0" w:type="dxa"/>
            <w:right w:w="108" w:type="dxa"/>
          </w:tblCellMar>
        </w:tblPrEx>
        <w:trPr>
          <w:trHeight w:val="99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color w:val="auto"/>
                <w:sz w:val="21"/>
                <w:szCs w:val="21"/>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eastAsia="宋体"/>
                <w:color w:val="auto"/>
                <w:sz w:val="20"/>
                <w:szCs w:val="20"/>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诊疗违规情况</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7(社会机构10)</w:t>
            </w:r>
          </w:p>
        </w:tc>
        <w:tc>
          <w:tcPr>
            <w:tcW w:w="9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日常稽核、年度考核（二级及以上医疗机构抽取50份，一级医疗机构抽取30份，不足30份全部抽取），每发现1例存在诊疗违规行为的，扣减0.2分，扣完为止。</w:t>
            </w:r>
          </w:p>
        </w:tc>
      </w:tr>
      <w:tr>
        <w:tblPrEx>
          <w:tblCellMar>
            <w:top w:w="0" w:type="dxa"/>
            <w:left w:w="108" w:type="dxa"/>
            <w:bottom w:w="0" w:type="dxa"/>
            <w:right w:w="108" w:type="dxa"/>
          </w:tblCellMar>
        </w:tblPrEx>
        <w:trPr>
          <w:trHeight w:val="1553" w:hRule="atLeast"/>
        </w:trPr>
        <w:tc>
          <w:tcPr>
            <w:tcW w:w="120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（七）加分项</w:t>
            </w:r>
          </w:p>
        </w:tc>
        <w:tc>
          <w:tcPr>
            <w:tcW w:w="7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临床路径建设</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1.临床路径病例数占比=入组医院临床路径管理的病例数/医院总病例数；</w:t>
            </w:r>
          </w:p>
          <w:p>
            <w:pPr>
              <w:widowControl/>
              <w:jc w:val="left"/>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2.三级医院占比达50%以上的得1分，70%以上的得2分；二级医院有进行临床路径建设的得1分，占比达50%的以上的得2分；一级医院有进行临床路径建设的得2分；</w:t>
            </w:r>
          </w:p>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3.具体由医院系统展示，提供相关数据并盖章。</w:t>
            </w:r>
          </w:p>
        </w:tc>
      </w:tr>
      <w:tr>
        <w:tblPrEx>
          <w:tblCellMar>
            <w:top w:w="0" w:type="dxa"/>
            <w:left w:w="108" w:type="dxa"/>
            <w:bottom w:w="0" w:type="dxa"/>
            <w:right w:w="108" w:type="dxa"/>
          </w:tblCellMar>
        </w:tblPrEx>
        <w:trPr>
          <w:trHeight w:val="720" w:hRule="atLeast"/>
        </w:trPr>
        <w:tc>
          <w:tcPr>
            <w:tcW w:w="1200"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病种组库维护</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shd w:val="clear" w:color="auto" w:fill="FFFFFF"/>
                <w:lang w:bidi="ar"/>
              </w:rPr>
              <w:t>响应医保部门DIP病种组维护工作，书面提出对病种组修改意见并被医保采纳的，每个病种组加0.5分。</w:t>
            </w:r>
          </w:p>
        </w:tc>
      </w:tr>
      <w:tr>
        <w:tblPrEx>
          <w:tblCellMar>
            <w:top w:w="0" w:type="dxa"/>
            <w:left w:w="108" w:type="dxa"/>
            <w:bottom w:w="0" w:type="dxa"/>
            <w:right w:w="108" w:type="dxa"/>
          </w:tblCellMar>
        </w:tblPrEx>
        <w:trPr>
          <w:trHeight w:val="825" w:hRule="atLeast"/>
        </w:trPr>
        <w:tc>
          <w:tcPr>
            <w:tcW w:w="1200"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专家配合</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积极响应参与DIP专家审核制度，每人次0.2分；派遣专家帮助医保进行培训工作的，每人次0.5分；其他支援配合各等级医保部门工作的，如稽核、病种入组审核、医疗机构准入等，每人次0.2分。</w:t>
            </w:r>
          </w:p>
        </w:tc>
      </w:tr>
      <w:tr>
        <w:tblPrEx>
          <w:tblCellMar>
            <w:top w:w="0" w:type="dxa"/>
            <w:left w:w="108" w:type="dxa"/>
            <w:bottom w:w="0" w:type="dxa"/>
            <w:right w:w="108" w:type="dxa"/>
          </w:tblCellMar>
        </w:tblPrEx>
        <w:trPr>
          <w:trHeight w:val="840" w:hRule="atLeast"/>
        </w:trPr>
        <w:tc>
          <w:tcPr>
            <w:tcW w:w="1200"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CMI值增长率</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auto"/>
                <w:sz w:val="20"/>
                <w:szCs w:val="20"/>
                <w:lang w:bidi="ar"/>
              </w:rPr>
            </w:pPr>
            <w:r>
              <w:rPr>
                <w:rFonts w:hint="eastAsia" w:ascii="宋体" w:hAnsi="宋体" w:eastAsia="宋体" w:cs="宋体"/>
                <w:color w:val="auto"/>
                <w:kern w:val="0"/>
                <w:sz w:val="20"/>
                <w:szCs w:val="20"/>
                <w:lang w:bidi="ar"/>
              </w:rPr>
              <w:t>1.CMI值</w:t>
            </w:r>
            <w:r>
              <w:rPr>
                <w:rFonts w:ascii="宋体" w:hAnsi="宋体" w:eastAsia="宋体" w:cs="宋体"/>
                <w:color w:val="auto"/>
                <w:sz w:val="20"/>
                <w:szCs w:val="20"/>
                <w:lang w:bidi="ar"/>
              </w:rPr>
              <w:t>增长率=本年度CMI值/上年度CMI值*100%-1；</w:t>
            </w:r>
          </w:p>
          <w:p>
            <w:pPr>
              <w:widowControl/>
              <w:jc w:val="left"/>
              <w:textAlignment w:val="center"/>
              <w:rPr>
                <w:rFonts w:ascii="宋体" w:hAnsi="宋体" w:eastAsia="宋体" w:cs="宋体"/>
                <w:color w:val="auto"/>
                <w:sz w:val="20"/>
                <w:szCs w:val="20"/>
              </w:rPr>
            </w:pPr>
            <w:r>
              <w:rPr>
                <w:rFonts w:ascii="宋体" w:hAnsi="宋体" w:eastAsia="宋体" w:cs="宋体"/>
                <w:color w:val="auto"/>
                <w:sz w:val="20"/>
                <w:szCs w:val="20"/>
                <w:lang w:bidi="ar"/>
              </w:rPr>
              <w:t>2.本院本年度CMI同比上年度增长超3%以上且高于同等级医院平均值的，经稽核没有存在违法违规行为的，每增长超1%，加0.5分。</w:t>
            </w:r>
          </w:p>
        </w:tc>
      </w:tr>
      <w:tr>
        <w:tblPrEx>
          <w:tblCellMar>
            <w:top w:w="0" w:type="dxa"/>
            <w:left w:w="108" w:type="dxa"/>
            <w:bottom w:w="0" w:type="dxa"/>
            <w:right w:w="108" w:type="dxa"/>
          </w:tblCellMar>
        </w:tblPrEx>
        <w:trPr>
          <w:trHeight w:val="780" w:hRule="atLeast"/>
        </w:trPr>
        <w:tc>
          <w:tcPr>
            <w:tcW w:w="1200"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szCs w:val="22"/>
              </w:rPr>
            </w:pPr>
          </w:p>
        </w:tc>
        <w:tc>
          <w:tcPr>
            <w:tcW w:w="122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auto"/>
                <w:sz w:val="20"/>
                <w:szCs w:val="20"/>
                <w:u w:val="single"/>
              </w:rPr>
            </w:pPr>
            <w:r>
              <w:rPr>
                <w:rFonts w:hint="eastAsia" w:ascii="宋体" w:hAnsi="宋体" w:eastAsia="宋体" w:cs="宋体"/>
                <w:color w:val="auto"/>
                <w:kern w:val="0"/>
                <w:sz w:val="20"/>
                <w:szCs w:val="20"/>
                <w:lang w:bidi="ar"/>
              </w:rPr>
              <w:t>开展云诊次数占比</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993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医疗机构每周至少开展云诊1次，年开展次数不少于53次，得2分。</w:t>
            </w:r>
          </w:p>
        </w:tc>
      </w:tr>
      <w:tr>
        <w:tblPrEx>
          <w:tblCellMar>
            <w:top w:w="0" w:type="dxa"/>
            <w:left w:w="108" w:type="dxa"/>
            <w:bottom w:w="0" w:type="dxa"/>
            <w:right w:w="108" w:type="dxa"/>
          </w:tblCellMar>
        </w:tblPrEx>
        <w:trPr>
          <w:trHeight w:val="1827" w:hRule="atLeast"/>
        </w:trPr>
        <w:tc>
          <w:tcPr>
            <w:tcW w:w="1200" w:type="dxa"/>
            <w:vMerge w:val="continue"/>
            <w:tcBorders>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color w:val="auto"/>
                <w:sz w:val="22"/>
                <w:szCs w:val="22"/>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eastAsia" w:ascii="宋体" w:hAnsi="宋体" w:eastAsia="宋体" w:cs="宋体"/>
                <w:kern w:val="0"/>
                <w:sz w:val="20"/>
                <w:szCs w:val="20"/>
              </w:rPr>
            </w:pPr>
            <w:r>
              <w:rPr>
                <w:rFonts w:hint="eastAsia" w:ascii="宋体" w:hAnsi="宋体" w:eastAsia="宋体" w:cs="宋体"/>
                <w:sz w:val="20"/>
                <w:szCs w:val="20"/>
              </w:rPr>
              <w:t>医保电子凭证结算率冲刺</w:t>
            </w: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9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560" w:lineRule="exact"/>
              <w:ind w:firstLine="200" w:firstLineChars="100"/>
              <w:rPr>
                <w:rFonts w:hint="eastAsia" w:ascii="宋体" w:hAnsi="宋体" w:eastAsia="宋体" w:cs="宋体"/>
                <w:sz w:val="20"/>
                <w:szCs w:val="20"/>
              </w:rPr>
            </w:pPr>
            <w:r>
              <w:rPr>
                <w:rFonts w:hint="eastAsia" w:ascii="宋体" w:hAnsi="宋体" w:eastAsia="宋体" w:cs="宋体"/>
                <w:sz w:val="20"/>
                <w:szCs w:val="20"/>
              </w:rPr>
              <w:t>将2022年11-12月列为医保电子凭证结算率冲刺阶段，医疗机构在冲刺阶段中医保电子凭证结算率达40%以上的，考核评分表中“医保电子凭证结算人次占比”一项以满分4分计，此外冲刺阶段结算率达45%的加1分，达50%加2分。</w:t>
            </w:r>
          </w:p>
          <w:p>
            <w:pPr>
              <w:widowControl/>
              <w:textAlignment w:val="center"/>
              <w:rPr>
                <w:rFonts w:hint="eastAsia" w:ascii="宋体" w:hAnsi="宋体" w:eastAsia="宋体" w:cs="宋体"/>
                <w:sz w:val="20"/>
                <w:szCs w:val="20"/>
                <w:shd w:val="clear" w:color="auto" w:fill="FFFFFF"/>
              </w:rPr>
            </w:pPr>
          </w:p>
        </w:tc>
      </w:tr>
    </w:tbl>
    <w:p>
      <w:pPr>
        <w:rPr>
          <w:color w:val="auto"/>
        </w:rPr>
        <w:sectPr>
          <w:headerReference r:id="rId3" w:type="default"/>
          <w:footerReference r:id="rId4" w:type="default"/>
          <w:pgSz w:w="16838" w:h="11906" w:orient="landscape"/>
          <w:pgMar w:top="2098" w:right="1531" w:bottom="1984" w:left="1588" w:header="851" w:footer="992" w:gutter="0"/>
          <w:pgNumType w:fmt="numberInDash" w:start="8"/>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637"/>
        <w:gridCol w:w="2363"/>
        <w:gridCol w:w="679"/>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55" w:type="dxa"/>
            <w:vMerge w:val="restart"/>
            <w:noWrap w:val="0"/>
            <w:vAlign w:val="top"/>
          </w:tcPr>
          <w:p>
            <w:pPr>
              <w:rPr>
                <w:color w:val="auto"/>
              </w:rPr>
            </w:pPr>
          </w:p>
        </w:tc>
        <w:tc>
          <w:tcPr>
            <w:tcW w:w="637"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363"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高血压、糖尿病</w:t>
            </w:r>
          </w:p>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基层诊疗占比</w:t>
            </w:r>
          </w:p>
        </w:tc>
        <w:tc>
          <w:tcPr>
            <w:tcW w:w="679"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9001" w:type="dxa"/>
            <w:noWrap w:val="0"/>
            <w:vAlign w:val="top"/>
          </w:tcPr>
          <w:p>
            <w:pPr>
              <w:numPr>
                <w:ilvl w:val="0"/>
                <w:numId w:val="1"/>
              </w:numPr>
              <w:rPr>
                <w:rFonts w:hint="eastAsia" w:ascii="宋体" w:hAnsi="宋体" w:eastAsia="宋体" w:cs="宋体"/>
                <w:color w:val="auto"/>
                <w:sz w:val="20"/>
                <w:szCs w:val="20"/>
              </w:rPr>
            </w:pPr>
            <w:r>
              <w:rPr>
                <w:rFonts w:hint="eastAsia" w:ascii="宋体" w:hAnsi="宋体" w:eastAsia="宋体" w:cs="宋体"/>
                <w:color w:val="auto"/>
                <w:sz w:val="20"/>
                <w:szCs w:val="20"/>
              </w:rPr>
              <w:t>高血压、糖尿病基层诊疗占比=本县域参保人在县域内基层医疗机构就诊高血压、糖尿病特殊门诊的人数/在定点医疗机构高血压、糖尿病特殊门诊就诊人数X100%；</w:t>
            </w:r>
          </w:p>
          <w:p>
            <w:pPr>
              <w:numPr>
                <w:ilvl w:val="0"/>
                <w:numId w:val="1"/>
              </w:numPr>
              <w:rPr>
                <w:rFonts w:ascii="宋体" w:hAnsi="宋体" w:eastAsia="宋体" w:cs="宋体"/>
                <w:color w:val="auto"/>
                <w:sz w:val="20"/>
                <w:szCs w:val="20"/>
              </w:rPr>
            </w:pPr>
            <w:r>
              <w:rPr>
                <w:rFonts w:hint="eastAsia" w:ascii="宋体" w:hAnsi="宋体" w:eastAsia="宋体" w:cs="宋体"/>
                <w:color w:val="auto"/>
                <w:sz w:val="20"/>
                <w:szCs w:val="20"/>
              </w:rPr>
              <w:t>医共体核心医院参与本项指标考核，与本县域内上年值相比，每增加1个百分点，加0.2分，最高1分。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55" w:type="dxa"/>
            <w:vMerge w:val="continue"/>
            <w:noWrap w:val="0"/>
            <w:vAlign w:val="top"/>
          </w:tcPr>
          <w:p>
            <w:pPr>
              <w:rPr>
                <w:color w:val="auto"/>
              </w:rPr>
            </w:pPr>
          </w:p>
        </w:tc>
        <w:tc>
          <w:tcPr>
            <w:tcW w:w="637"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p>
          <w:p>
            <w:pPr>
              <w:ind w:firstLine="200" w:firstLineChars="100"/>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363"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p>
          <w:p>
            <w:pPr>
              <w:jc w:val="center"/>
              <w:rPr>
                <w:rFonts w:ascii="宋体" w:hAnsi="宋体" w:eastAsia="宋体" w:cs="宋体"/>
                <w:color w:val="auto"/>
                <w:sz w:val="20"/>
                <w:szCs w:val="20"/>
              </w:rPr>
            </w:pPr>
            <w:r>
              <w:rPr>
                <w:rFonts w:hint="eastAsia" w:ascii="宋体" w:hAnsi="宋体" w:eastAsia="宋体" w:cs="宋体"/>
                <w:color w:val="auto"/>
                <w:sz w:val="20"/>
                <w:szCs w:val="20"/>
              </w:rPr>
              <w:t>“两病”规范化管理人群用药保障率</w:t>
            </w:r>
          </w:p>
        </w:tc>
        <w:tc>
          <w:tcPr>
            <w:tcW w:w="679" w:type="dxa"/>
            <w:noWrap w:val="0"/>
            <w:vAlign w:val="top"/>
          </w:tcPr>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p>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9001" w:type="dxa"/>
            <w:noWrap w:val="0"/>
            <w:vAlign w:val="top"/>
          </w:tcPr>
          <w:p>
            <w:pPr>
              <w:rPr>
                <w:rFonts w:hint="eastAsia" w:ascii="宋体" w:hAnsi="宋体" w:eastAsia="宋体" w:cs="宋体"/>
                <w:color w:val="auto"/>
                <w:sz w:val="20"/>
                <w:szCs w:val="20"/>
              </w:rPr>
            </w:pPr>
            <w:r>
              <w:rPr>
                <w:rFonts w:hint="eastAsia" w:ascii="宋体" w:hAnsi="宋体" w:eastAsia="宋体" w:cs="宋体"/>
                <w:color w:val="auto"/>
                <w:sz w:val="20"/>
                <w:szCs w:val="20"/>
              </w:rPr>
              <w:t>1.“两病（指高血压和糖尿病）”规范化管理人群用药保障率=本县域内参保人“两病”门诊用药保障人数/“两病”规范化管理人数X100%（门诊用药保障人数统计口径参照医保函〔2020〕219号“两病”门诊用药保障情况调度表中国家规定的口径统计）数据来源：门诊用药保障人数来源医保信息系统、规范化管理人数来源卫健部门；</w:t>
            </w:r>
          </w:p>
          <w:p>
            <w:pPr>
              <w:rPr>
                <w:rFonts w:ascii="宋体" w:hAnsi="宋体" w:eastAsia="宋体" w:cs="宋体"/>
                <w:color w:val="auto"/>
                <w:sz w:val="20"/>
                <w:szCs w:val="20"/>
              </w:rPr>
            </w:pPr>
            <w:r>
              <w:rPr>
                <w:rFonts w:hint="eastAsia" w:ascii="宋体" w:hAnsi="宋体" w:eastAsia="宋体" w:cs="宋体"/>
                <w:color w:val="auto"/>
                <w:sz w:val="20"/>
                <w:szCs w:val="20"/>
              </w:rPr>
              <w:t>2.医共体核心医院参与本项指标考核，与本县域内上年值相比，每增加1个百分点，加0.2分，最高1分。</w:t>
            </w:r>
          </w:p>
        </w:tc>
      </w:tr>
    </w:tbl>
    <w:p>
      <w:pPr>
        <w:rPr>
          <w:color w:val="auto"/>
        </w:rPr>
        <w:sectPr>
          <w:pgSz w:w="16838" w:h="11906" w:orient="landscape"/>
          <w:pgMar w:top="2098" w:right="1531" w:bottom="1984" w:left="1588" w:header="851" w:footer="992" w:gutter="0"/>
          <w:pgNumType w:fmt="numberInDash"/>
          <w:cols w:space="720" w:num="1"/>
          <w:docGrid w:type="lines" w:linePitch="312" w:charSpace="0"/>
        </w:sectPr>
      </w:pPr>
    </w:p>
    <w:p>
      <w:pPr>
        <w:rPr>
          <w:color w:val="auto"/>
        </w:rPr>
        <w:sectPr>
          <w:footerReference r:id="rId5" w:type="default"/>
          <w:pgSz w:w="11906" w:h="16838"/>
          <w:pgMar w:top="1531" w:right="1984" w:bottom="1588" w:left="2098" w:header="851" w:footer="992" w:gutter="0"/>
          <w:pgNumType w:fmt="numberInDash" w:start="15"/>
          <w:cols w:space="720" w:num="1"/>
          <w:docGrid w:type="lines" w:linePitch="312" w:charSpace="0"/>
        </w:sectPr>
      </w:pPr>
    </w:p>
    <w:p/>
    <w:p>
      <w:pPr>
        <w:rPr>
          <w:rFonts w:hint="eastAsia" w:ascii="仿宋_GB2312" w:hAnsi="仿宋" w:eastAsia="仿宋_GB2312" w:cs="仿宋"/>
        </w:rPr>
      </w:pPr>
      <w:bookmarkStart w:id="0" w:name="ffj"/>
      <w:bookmarkEnd w:id="0"/>
    </w:p>
    <w:tbl>
      <w:tblPr>
        <w:tblStyle w:val="5"/>
        <w:tblW w:w="0" w:type="auto"/>
        <w:tblInd w:w="0" w:type="dxa"/>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624" w:hRule="atLeast"/>
        </w:trPr>
        <w:tc>
          <w:tcPr>
            <w:tcW w:w="9060" w:type="dxa"/>
            <w:noWrap w:val="0"/>
            <w:vAlign w:val="top"/>
          </w:tcPr>
          <w:p>
            <w:pPr>
              <w:tabs>
                <w:tab w:val="left" w:pos="7305"/>
              </w:tabs>
              <w:wordWrap w:val="0"/>
              <w:ind w:right="482"/>
              <w:rPr>
                <w:rFonts w:hint="eastAsia" w:ascii="仿宋_GB2312" w:hAnsi="仿宋" w:eastAsia="仿宋_GB2312" w:cs="仿宋"/>
              </w:rPr>
            </w:pPr>
            <w:bookmarkStart w:id="1" w:name="fyz"/>
            <w:bookmarkEnd w:id="1"/>
          </w:p>
          <w:p>
            <w:pPr>
              <w:tabs>
                <w:tab w:val="left" w:pos="7305"/>
              </w:tabs>
              <w:wordWrap w:val="0"/>
              <w:ind w:right="482"/>
              <w:rPr>
                <w:rFonts w:hint="eastAsia" w:ascii="仿宋_GB2312" w:hAnsi="仿宋" w:eastAsia="仿宋_GB2312" w:cs="仿宋"/>
              </w:rPr>
            </w:pPr>
          </w:p>
          <w:p>
            <w:pPr>
              <w:tabs>
                <w:tab w:val="left" w:pos="8820"/>
              </w:tabs>
              <w:jc w:val="center"/>
              <w:rPr>
                <w:rFonts w:hint="eastAsia" w:ascii="仿宋_GB2312" w:hAnsi="仿宋" w:eastAsia="仿宋_GB2312" w:cs="仿宋"/>
              </w:rPr>
            </w:pPr>
            <w:r>
              <w:rPr>
                <w:rFonts w:hint="eastAsia" w:ascii="仿宋_GB2312" w:hAnsi="仿宋" w:eastAsia="仿宋_GB2312" w:cs="仿宋"/>
              </w:rPr>
              <w:t xml:space="preserve">                                 </w:t>
            </w:r>
          </w:p>
        </w:tc>
      </w:tr>
      <w:tr>
        <w:tblPrEx>
          <w:tblCellMar>
            <w:top w:w="0" w:type="dxa"/>
            <w:left w:w="108" w:type="dxa"/>
            <w:bottom w:w="0" w:type="dxa"/>
            <w:right w:w="108" w:type="dxa"/>
          </w:tblCellMar>
        </w:tblPrEx>
        <w:trPr>
          <w:trHeight w:val="308" w:hRule="atLeast"/>
        </w:trPr>
        <w:tc>
          <w:tcPr>
            <w:tcW w:w="9060" w:type="dxa"/>
            <w:noWrap w:val="0"/>
            <w:vAlign w:val="top"/>
          </w:tcPr>
          <w:p>
            <w:pPr>
              <w:wordWrap w:val="0"/>
              <w:jc w:val="right"/>
              <w:rPr>
                <w:rFonts w:hint="eastAsia" w:ascii="仿宋_GB2312" w:hAnsi="仿宋" w:eastAsia="仿宋_GB2312" w:cs="仿宋"/>
              </w:rPr>
            </w:pPr>
            <w:bookmarkStart w:id="2" w:name="fqfrq"/>
            <w:bookmarkEnd w:id="2"/>
            <w:r>
              <w:rPr>
                <w:rFonts w:hint="eastAsia" w:ascii="仿宋_GB2312" w:hAnsi="仿宋" w:eastAsia="仿宋_GB2312" w:cs="仿宋"/>
              </w:rPr>
              <w:t xml:space="preserve">        </w:t>
            </w:r>
          </w:p>
        </w:tc>
      </w:tr>
    </w:tbl>
    <w:p>
      <w:pPr>
        <w:rPr>
          <w:rFonts w:hint="eastAsia" w:ascii="仿宋_GB2312" w:hAnsi="仿宋" w:eastAsia="仿宋_GB2312" w:cs="仿宋"/>
        </w:rPr>
      </w:pPr>
      <w:r>
        <w:rPr>
          <w:rFonts w:hint="eastAsia" w:ascii="仿宋_GB2312" w:hAnsi="仿宋" w:eastAsia="仿宋_GB2312" w:cs="仿宋"/>
        </w:rPr>
        <w:t>　　</w:t>
      </w:r>
      <w:bookmarkStart w:id="3" w:name="ffz"/>
      <w:bookmarkEnd w:id="3"/>
    </w:p>
    <w:tbl>
      <w:tblPr>
        <w:tblStyle w:val="5"/>
        <w:tblpPr w:leftFromText="180" w:rightFromText="180" w:horzAnchor="margin" w:tblpXSpec="center" w:tblpYSpec="bottom"/>
        <w:tblOverlap w:val="never"/>
        <w:tblW w:w="5000" w:type="pct"/>
        <w:tblInd w:w="0" w:type="dxa"/>
        <w:tblLayout w:type="autofit"/>
        <w:tblCellMar>
          <w:top w:w="0" w:type="dxa"/>
          <w:left w:w="28" w:type="dxa"/>
          <w:bottom w:w="0" w:type="dxa"/>
          <w:right w:w="28" w:type="dxa"/>
        </w:tblCellMar>
      </w:tblPr>
      <w:tblGrid>
        <w:gridCol w:w="4450"/>
        <w:gridCol w:w="4450"/>
      </w:tblGrid>
      <w:tr>
        <w:tblPrEx>
          <w:tblCellMar>
            <w:top w:w="0" w:type="dxa"/>
            <w:left w:w="28" w:type="dxa"/>
            <w:bottom w:w="0" w:type="dxa"/>
            <w:right w:w="28" w:type="dxa"/>
          </w:tblCellMar>
        </w:tblPrEx>
        <w:trPr>
          <w:trHeight w:val="567" w:hRule="atLeast"/>
        </w:trPr>
        <w:tc>
          <w:tcPr>
            <w:tcW w:w="5000" w:type="pct"/>
            <w:gridSpan w:val="2"/>
            <w:tcBorders>
              <w:top w:val="nil"/>
              <w:left w:val="nil"/>
              <w:bottom w:val="single" w:color="auto" w:sz="12" w:space="0"/>
              <w:right w:val="nil"/>
            </w:tcBorders>
            <w:noWrap w:val="0"/>
            <w:vAlign w:val="bottom"/>
          </w:tcPr>
          <w:p>
            <w:pPr>
              <w:spacing w:after="100" w:afterAutospacing="1" w:line="460" w:lineRule="exact"/>
              <w:ind w:right="205" w:rightChars="65" w:firstLine="276" w:firstLineChars="100"/>
              <w:textAlignment w:val="bottom"/>
              <w:rPr>
                <w:rFonts w:hint="eastAsia" w:ascii="仿宋_GB2312" w:hAnsi="仿宋" w:eastAsia="仿宋_GB2312" w:cs="仿宋_GB2312"/>
                <w:sz w:val="28"/>
                <w:szCs w:val="28"/>
              </w:rPr>
            </w:pPr>
            <w:r>
              <w:rPr>
                <w:rFonts w:hint="eastAsia" w:ascii="仿宋_GB2312" w:hAnsi="仿宋" w:eastAsia="仿宋_GB2312" w:cs="仿宋_GB2312"/>
                <w:sz w:val="28"/>
                <w:szCs w:val="28"/>
              </w:rPr>
              <w:t>信息公开类型：</w:t>
            </w:r>
            <w:bookmarkStart w:id="4" w:name="fgklx"/>
            <w:r>
              <w:rPr>
                <w:rFonts w:hint="eastAsia" w:ascii="仿宋_GB2312" w:hAnsi="仿宋" w:eastAsia="仿宋_GB2312" w:cs="仿宋_GB2312"/>
                <w:sz w:val="28"/>
                <w:szCs w:val="28"/>
              </w:rPr>
              <w:t>主动公开</w:t>
            </w:r>
            <w:bookmarkEnd w:id="4"/>
          </w:p>
        </w:tc>
      </w:tr>
      <w:tr>
        <w:tblPrEx>
          <w:tblCellMar>
            <w:top w:w="0" w:type="dxa"/>
            <w:left w:w="28" w:type="dxa"/>
            <w:bottom w:w="0" w:type="dxa"/>
            <w:right w:w="28" w:type="dxa"/>
          </w:tblCellMar>
        </w:tblPrEx>
        <w:trPr>
          <w:trHeight w:val="567" w:hRule="atLeast"/>
        </w:trPr>
        <w:tc>
          <w:tcPr>
            <w:tcW w:w="2500" w:type="pct"/>
            <w:tcBorders>
              <w:top w:val="nil"/>
              <w:left w:val="nil"/>
              <w:bottom w:val="single" w:color="auto" w:sz="12" w:space="0"/>
              <w:right w:val="nil"/>
            </w:tcBorders>
            <w:noWrap w:val="0"/>
            <w:vAlign w:val="bottom"/>
          </w:tcPr>
          <w:p>
            <w:pPr>
              <w:spacing w:after="100" w:line="460" w:lineRule="exact"/>
              <w:ind w:right="205" w:rightChars="65" w:firstLine="276" w:firstLineChars="100"/>
              <w:rPr>
                <w:rFonts w:hint="eastAsia" w:ascii="仿宋_GB2312" w:hAnsi="仿宋" w:eastAsia="仿宋_GB2312"/>
                <w:sz w:val="28"/>
              </w:rPr>
            </w:pPr>
            <w:r>
              <w:rPr>
                <w:rFonts w:hint="eastAsia" w:ascii="仿宋_GB2312" w:hAnsi="仿宋" w:eastAsia="仿宋_GB2312" w:cs="仿宋_GB2312"/>
                <w:sz w:val="28"/>
              </w:rPr>
              <w:t>宁德市医疗保障局办公室</w:t>
            </w:r>
          </w:p>
        </w:tc>
        <w:tc>
          <w:tcPr>
            <w:tcW w:w="2500" w:type="pct"/>
            <w:tcBorders>
              <w:top w:val="nil"/>
              <w:left w:val="nil"/>
              <w:bottom w:val="single" w:color="auto" w:sz="12" w:space="0"/>
              <w:right w:val="nil"/>
            </w:tcBorders>
            <w:noWrap w:val="0"/>
            <w:vAlign w:val="bottom"/>
          </w:tcPr>
          <w:p>
            <w:pPr>
              <w:wordWrap w:val="0"/>
              <w:spacing w:after="100" w:afterAutospacing="1" w:line="460" w:lineRule="exact"/>
              <w:ind w:right="205" w:rightChars="65" w:firstLine="828" w:firstLineChars="300"/>
              <w:jc w:val="right"/>
              <w:textAlignment w:val="bottom"/>
              <w:rPr>
                <w:rFonts w:hint="eastAsia" w:ascii="仿宋_GB2312" w:eastAsia="仿宋_GB2312"/>
              </w:rPr>
            </w:pPr>
            <w:bookmarkStart w:id="5" w:name="fyfrq"/>
            <w:r>
              <w:rPr>
                <w:rFonts w:hint="eastAsia" w:ascii="仿宋_GB2312" w:hAnsi="仿宋" w:eastAsia="仿宋_GB2312" w:cs="仿宋_GB2312"/>
                <w:sz w:val="28"/>
              </w:rPr>
              <w:t>2022年1</w:t>
            </w:r>
            <w:r>
              <w:rPr>
                <w:rFonts w:hint="eastAsia" w:ascii="仿宋_GB2312" w:hAnsi="仿宋" w:eastAsia="仿宋_GB2312" w:cs="仿宋_GB2312"/>
                <w:sz w:val="28"/>
                <w:lang w:val="en-US" w:eastAsia="zh-CN"/>
              </w:rPr>
              <w:t>2</w:t>
            </w:r>
            <w:r>
              <w:rPr>
                <w:rFonts w:hint="eastAsia" w:ascii="仿宋_GB2312" w:hAnsi="仿宋" w:eastAsia="仿宋_GB2312" w:cs="仿宋_GB2312"/>
                <w:sz w:val="28"/>
              </w:rPr>
              <w:t>月</w:t>
            </w:r>
            <w:r>
              <w:rPr>
                <w:rFonts w:hint="eastAsia" w:ascii="仿宋_GB2312" w:hAnsi="仿宋" w:eastAsia="仿宋_GB2312" w:cs="仿宋_GB2312"/>
                <w:sz w:val="28"/>
                <w:lang w:val="en-US" w:eastAsia="zh-CN"/>
              </w:rPr>
              <w:t>1</w:t>
            </w:r>
            <w:r>
              <w:rPr>
                <w:rFonts w:hint="eastAsia" w:ascii="仿宋_GB2312" w:hAnsi="仿宋" w:eastAsia="仿宋_GB2312" w:cs="仿宋_GB2312"/>
                <w:sz w:val="28"/>
              </w:rPr>
              <w:t>5日</w:t>
            </w:r>
            <w:bookmarkEnd w:id="5"/>
            <w:r>
              <w:rPr>
                <w:rFonts w:hint="eastAsia" w:ascii="仿宋_GB2312" w:hAnsi="仿宋" w:eastAsia="仿宋_GB2312" w:cs="仿宋_GB2312"/>
                <w:sz w:val="28"/>
              </w:rPr>
              <w:t>印发</w:t>
            </w:r>
            <w:r>
              <w:rPr>
                <w:rFonts w:hint="eastAsia" w:ascii="仿宋_GB2312" w:eastAsia="仿宋_GB2312" w:cs="仿宋_GB2312"/>
              </w:rPr>
              <w:t xml:space="preserve">  </w:t>
            </w:r>
          </w:p>
        </w:tc>
      </w:tr>
    </w:tbl>
    <w:p>
      <w:pPr>
        <w:rPr>
          <w:rFonts w:hint="eastAsia" w:ascii="仿宋_GB2312" w:hAnsi="仿宋" w:eastAsia="仿宋_GB2312"/>
        </w:rPr>
      </w:pPr>
    </w:p>
    <w:p>
      <w:pPr>
        <w:rPr>
          <w:rFonts w:ascii="仿宋" w:hAnsi="仿宋" w:cs="仿宋"/>
        </w:rPr>
      </w:pPr>
    </w:p>
    <w:p/>
    <w:sectPr>
      <w:footerReference r:id="rId6" w:type="default"/>
      <w:footerReference r:id="rId7" w:type="even"/>
      <w:pgSz w:w="11906" w:h="16838"/>
      <w:pgMar w:top="2098" w:right="1474" w:bottom="1814" w:left="1588" w:header="851" w:footer="992" w:gutter="0"/>
      <w:pgNumType w:fmt="numberInDash"/>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ascii="仿宋" w:hAnsi="仿宋" w:cs="仿宋"/>
                              <w:sz w:val="28"/>
                              <w:szCs w:val="28"/>
                            </w:rPr>
                            <w:t>- 14 -</w:t>
                          </w:r>
                          <w:r>
                            <w:rPr>
                              <w:rFonts w:hint="eastAsia" w:ascii="仿宋" w:hAnsi="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ascii="仿宋" w:hAnsi="仿宋" w:cs="仿宋"/>
                        <w:sz w:val="28"/>
                        <w:szCs w:val="28"/>
                      </w:rPr>
                      <w:t>- 14 -</w:t>
                    </w:r>
                    <w:r>
                      <w:rPr>
                        <w:rFonts w:hint="eastAsia" w:ascii="仿宋" w:hAnsi="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 w:hAnsi="仿宋" w:eastAsia="仿宋" w:cs="仿宋"/>
                              <w:sz w:val="28"/>
                              <w:szCs w:val="28"/>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仿宋"/>
                        <w:lang w:eastAsia="zh-CN"/>
                      </w:rPr>
                    </w:pPr>
                    <w:r>
                      <w:rPr>
                        <w:rFonts w:hint="eastAsia" w:ascii="仿宋" w:hAnsi="仿宋" w:cs="仿宋"/>
                        <w:sz w:val="28"/>
                        <w:szCs w:val="28"/>
                        <w:lang w:eastAsia="zh-CN"/>
                      </w:rPr>
                      <w:fldChar w:fldCharType="begin"/>
                    </w:r>
                    <w:r>
                      <w:rPr>
                        <w:rFonts w:hint="eastAsia" w:ascii="仿宋" w:hAnsi="仿宋" w:cs="仿宋"/>
                        <w:sz w:val="28"/>
                        <w:szCs w:val="28"/>
                        <w:lang w:eastAsia="zh-CN"/>
                      </w:rPr>
                      <w:instrText xml:space="preserve"> PAGE  \* MERGEFORMAT </w:instrText>
                    </w:r>
                    <w:r>
                      <w:rPr>
                        <w:rFonts w:hint="eastAsia" w:ascii="仿宋" w:hAnsi="仿宋" w:cs="仿宋"/>
                        <w:sz w:val="28"/>
                        <w:szCs w:val="28"/>
                        <w:lang w:eastAsia="zh-CN"/>
                      </w:rPr>
                      <w:fldChar w:fldCharType="separate"/>
                    </w:r>
                    <w:r>
                      <w:rPr>
                        <w:rFonts w:hint="eastAsia" w:ascii="仿宋" w:hAnsi="仿宋" w:cs="仿宋"/>
                        <w:sz w:val="28"/>
                        <w:szCs w:val="28"/>
                        <w:lang w:eastAsia="zh-CN"/>
                      </w:rPr>
                      <w:t>- 1 -</w:t>
                    </w:r>
                    <w:r>
                      <w:rPr>
                        <w:rFonts w:hint="eastAsia" w:ascii="仿宋" w:hAnsi="仿宋" w:cs="仿宋"/>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D3A4"/>
    <w:multiLevelType w:val="singleLevel"/>
    <w:tmpl w:val="8DEBD3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lmNDVhOWZmOTdlZmM2MzM0YjEzZmNjZDQ3ZDgifQ=="/>
  </w:docVars>
  <w:rsids>
    <w:rsidRoot w:val="69931654"/>
    <w:rsid w:val="2CEA5427"/>
    <w:rsid w:val="69931654"/>
    <w:rsid w:val="6E9F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列出段落1"/>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4023</Words>
  <Characters>4348</Characters>
  <Lines>0</Lines>
  <Paragraphs>0</Paragraphs>
  <TotalTime>2</TotalTime>
  <ScaleCrop>false</ScaleCrop>
  <LinksUpToDate>false</LinksUpToDate>
  <CharactersWithSpaces>4393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2022-12-16T02:22:00Z</dcterms:created>
  <dc:creator>林莲明</dc:creator>
  <cp:lastModifiedBy>Administrator</cp:lastModifiedBy>
  <dcterms:modified xsi:type="dcterms:W3CDTF">2023-05-18T01:40:50Z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8AFA922D3DAA4B93AAAC97EC44071C85_13</vt:lpwstr>
  </property>
</Properties>
</file>