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Layout w:type="autofit"/>
        <w:tblCellMar>
          <w:top w:w="0" w:type="dxa"/>
          <w:left w:w="28" w:type="dxa"/>
          <w:bottom w:w="0" w:type="dxa"/>
          <w:right w:w="28" w:type="dxa"/>
        </w:tblCellMar>
      </w:tblPr>
      <w:tblGrid>
        <w:gridCol w:w="8900"/>
      </w:tblGrid>
      <w:tr>
        <w:tblPrEx>
          <w:tblCellMar>
            <w:top w:w="0" w:type="dxa"/>
            <w:left w:w="28" w:type="dxa"/>
            <w:bottom w:w="0" w:type="dxa"/>
            <w:right w:w="28" w:type="dxa"/>
          </w:tblCellMar>
        </w:tblPrEx>
        <w:trPr>
          <w:trHeight w:val="454" w:hRule="exact"/>
        </w:trPr>
        <w:tc>
          <w:tcPr>
            <w:tcW w:w="5000" w:type="pct"/>
            <w:noWrap w:val="0"/>
            <w:vAlign w:val="top"/>
          </w:tcPr>
          <w:p>
            <w:pPr>
              <w:adjustRightInd w:val="0"/>
              <w:snapToGrid w:val="0"/>
              <w:spacing w:before="100" w:beforeAutospacing="1" w:after="100" w:afterAutospacing="1"/>
              <w:ind w:right="496" w:rightChars="157"/>
              <w:textAlignment w:val="bottom"/>
              <w:rPr>
                <w:rFonts w:hint="default" w:ascii="Times New Roman" w:hAnsi="Times New Roman" w:eastAsia="黑体" w:cs="Times New Roman"/>
                <w:lang w:eastAsia="zh-CN"/>
              </w:rPr>
            </w:pPr>
            <w:bookmarkStart w:id="0" w:name="fhj"/>
            <w:bookmarkEnd w:id="0"/>
          </w:p>
        </w:tc>
      </w:tr>
      <w:tr>
        <w:tblPrEx>
          <w:tblCellMar>
            <w:top w:w="0" w:type="dxa"/>
            <w:left w:w="28" w:type="dxa"/>
            <w:bottom w:w="0" w:type="dxa"/>
            <w:right w:w="28" w:type="dxa"/>
          </w:tblCellMar>
        </w:tblPrEx>
        <w:trPr>
          <w:trHeight w:val="1361" w:hRule="exact"/>
        </w:trPr>
        <w:tc>
          <w:tcPr>
            <w:tcW w:w="5000" w:type="pct"/>
            <w:noWrap w:val="0"/>
            <w:vAlign w:val="center"/>
          </w:tcPr>
          <w:p>
            <w:pPr>
              <w:adjustRightInd w:val="0"/>
              <w:snapToGrid w:val="0"/>
              <w:spacing w:before="100" w:beforeAutospacing="1" w:after="100" w:afterAutospacing="1"/>
              <w:ind w:right="496" w:rightChars="157"/>
              <w:textAlignment w:val="bottom"/>
              <w:rPr>
                <w:rFonts w:ascii="Times New Roman" w:hAnsi="Times New Roman" w:eastAsia="黑体" w:cs="Times New Roman"/>
              </w:rPr>
            </w:pPr>
          </w:p>
        </w:tc>
      </w:tr>
      <w:tr>
        <w:tblPrEx>
          <w:tblCellMar>
            <w:top w:w="0" w:type="dxa"/>
            <w:left w:w="28" w:type="dxa"/>
            <w:bottom w:w="0" w:type="dxa"/>
            <w:right w:w="28" w:type="dxa"/>
          </w:tblCellMar>
        </w:tblPrEx>
        <w:trPr>
          <w:trHeight w:val="1361" w:hRule="exact"/>
        </w:trPr>
        <w:tc>
          <w:tcPr>
            <w:tcW w:w="5000" w:type="pct"/>
            <w:noWrap w:val="0"/>
            <w:vAlign w:val="center"/>
          </w:tcPr>
          <w:p>
            <w:pPr>
              <w:snapToGrid w:val="0"/>
              <w:spacing w:before="100" w:beforeAutospacing="1" w:after="100" w:afterAutospacing="1"/>
              <w:jc w:val="center"/>
              <w:textAlignment w:val="bottom"/>
              <w:rPr>
                <w:rFonts w:hint="default" w:ascii="Times New Roman" w:hAnsi="Times New Roman" w:eastAsia="方正小标宋简体" w:cs="Times New Roman"/>
                <w:b/>
                <w:bCs/>
                <w:sz w:val="84"/>
                <w:szCs w:val="84"/>
              </w:rPr>
            </w:pPr>
            <w:bookmarkStart w:id="1" w:name="fhead"/>
            <w:r>
              <w:rPr>
                <w:rFonts w:hint="default" w:ascii="Times New Roman" w:hAnsi="Times New Roman" w:eastAsia="方正小标宋简体" w:cs="Times New Roman"/>
                <w:b w:val="0"/>
                <w:bCs w:val="0"/>
                <w:color w:val="FF0000"/>
                <w:sz w:val="84"/>
                <w:szCs w:val="84"/>
              </w:rPr>
              <w:t>宁德市医疗保障局文件</w:t>
            </w:r>
            <w:bookmarkEnd w:id="1"/>
          </w:p>
        </w:tc>
      </w:tr>
      <w:tr>
        <w:tblPrEx>
          <w:tblCellMar>
            <w:top w:w="0" w:type="dxa"/>
            <w:left w:w="28" w:type="dxa"/>
            <w:bottom w:w="0" w:type="dxa"/>
            <w:right w:w="28" w:type="dxa"/>
          </w:tblCellMar>
        </w:tblPrEx>
        <w:trPr>
          <w:trHeight w:val="1191" w:hRule="exact"/>
        </w:trPr>
        <w:tc>
          <w:tcPr>
            <w:tcW w:w="5000" w:type="pct"/>
            <w:noWrap w:val="0"/>
            <w:vAlign w:val="bottom"/>
          </w:tcPr>
          <w:p>
            <w:pPr>
              <w:snapToGrid w:val="0"/>
              <w:spacing w:before="120"/>
              <w:ind w:right="339" w:firstLine="632" w:firstLineChars="200"/>
              <w:jc w:val="center"/>
              <w:textAlignment w:val="bottom"/>
              <w:rPr>
                <w:rFonts w:hint="default" w:ascii="Times New Roman" w:hAnsi="Times New Roman" w:eastAsia="仿宋_GB2312" w:cs="Times New Roman"/>
                <w:lang w:eastAsia="zh-CN"/>
              </w:rPr>
            </w:pPr>
            <w:bookmarkStart w:id="2" w:name="fwh"/>
            <w:bookmarkEnd w:id="2"/>
            <w:r>
              <w:rPr>
                <w:rFonts w:hint="eastAsia" w:ascii="仿宋_GB2312" w:hAnsi="仿宋_GB2312" w:eastAsia="仿宋_GB2312" w:cs="仿宋_GB2312"/>
                <w:lang w:eastAsia="zh-CN"/>
              </w:rPr>
              <w:t>宁医保〔2022〕76号</w:t>
            </w:r>
          </w:p>
        </w:tc>
      </w:tr>
      <w:tr>
        <w:tblPrEx>
          <w:tblCellMar>
            <w:top w:w="0" w:type="dxa"/>
            <w:left w:w="28" w:type="dxa"/>
            <w:bottom w:w="0" w:type="dxa"/>
            <w:right w:w="28" w:type="dxa"/>
          </w:tblCellMar>
        </w:tblPrEx>
        <w:trPr>
          <w:trHeight w:val="28" w:hRule="exact"/>
        </w:trPr>
        <w:tc>
          <w:tcPr>
            <w:tcW w:w="5000" w:type="pct"/>
            <w:noWrap w:val="0"/>
            <w:vAlign w:val="bottom"/>
          </w:tcPr>
          <w:p>
            <w:pPr>
              <w:snapToGrid w:val="0"/>
              <w:spacing w:before="120"/>
              <w:ind w:right="339" w:firstLine="632" w:firstLineChars="200"/>
              <w:jc w:val="center"/>
              <w:textAlignment w:val="bottom"/>
              <w:rPr>
                <w:rFonts w:hint="default" w:ascii="Times New Roman" w:hAnsi="Times New Roman" w:cs="Times New Roman"/>
              </w:rPr>
            </w:pPr>
            <w:bookmarkStart w:id="3" w:name="fline"/>
            <w:r>
              <w:rPr>
                <w:rFonts w:hint="default" w:ascii="Times New Roman" w:hAnsi="Times New Roman" w:cs="Times New Roman"/>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ragraph">
                        <wp:posOffset>71755</wp:posOffset>
                      </wp:positionV>
                      <wp:extent cx="5601335" cy="0"/>
                      <wp:effectExtent l="0" t="19050" r="18415" b="19050"/>
                      <wp:wrapTight wrapText="bothSides">
                        <wp:wrapPolygon>
                          <wp:start x="0" y="0"/>
                          <wp:lineTo x="0" y="0"/>
                          <wp:lineTo x="21524" y="0"/>
                          <wp:lineTo x="21524" y="0"/>
                          <wp:lineTo x="0" y="0"/>
                        </wp:wrapPolygon>
                      </wp:wrapTight>
                      <wp:docPr id="1" name="直接连接符 1"/>
                      <wp:cNvGraphicFramePr/>
                      <a:graphic xmlns:a="http://schemas.openxmlformats.org/drawingml/2006/main">
                        <a:graphicData uri="http://schemas.microsoft.com/office/word/2010/wordprocessingShape">
                          <wps:wsp>
                            <wps:cNvCnPr/>
                            <wps:spPr>
                              <a:xfrm>
                                <a:off x="0" y="0"/>
                                <a:ext cx="560133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5.65pt;height:0pt;width:441.05pt;mso-position-horizontal:center;mso-position-horizontal-relative:page;mso-wrap-distance-left:9pt;mso-wrap-distance-right:9pt;z-index:-251657216;mso-width-relative:page;mso-height-relative:page;" filled="f" stroked="t" coordsize="21600,21600" wrapcoords="0 0 0 0 21524 0 21524 0 0 0" o:gfxdata="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xZeLM9cAAAAGAQAADwAAAAAAAAABACAA&#10;AAA4AAAAZHJzL2Rvd25yZXYueG1sUEsBAhQAFAAAAAgAh07iQDQRIHz4AQAA5QMAAA4AAAAAAAAA&#10;AQAgAAAAPAEAAGRycy9lMm9Eb2MueG1sUEsFBgAAAAAGAAYAWQEAAKYFAAAAAA==&#10;">
                      <v:fill on="f" focussize="0,0"/>
                      <v:stroke weight="3pt" color="#FF0000" joinstyle="round"/>
                      <v:imagedata o:title=""/>
                      <o:lock v:ext="edit" aspectratio="f"/>
                      <w10:wrap type="tight"/>
                    </v:line>
                  </w:pict>
                </mc:Fallback>
              </mc:AlternateContent>
            </w:r>
            <w:bookmarkEnd w:id="3"/>
          </w:p>
        </w:tc>
      </w:tr>
    </w:tbl>
    <w:p>
      <w:pPr>
        <w:rPr>
          <w:rFonts w:hint="default" w:ascii="Times New Roman" w:hAnsi="Times New Roman" w:cs="Times New Roman"/>
        </w:rPr>
      </w:pPr>
    </w:p>
    <w:p>
      <w:pPr>
        <w:rPr>
          <w:rFonts w:hint="default" w:ascii="Times New Roman" w:hAnsi="Times New Roman" w:cs="Times New Roman"/>
        </w:rPr>
      </w:pPr>
    </w:p>
    <w:p>
      <w:pPr>
        <w:snapToGrid w:val="0"/>
        <w:jc w:val="center"/>
        <w:rPr>
          <w:rFonts w:hint="default" w:ascii="Times New Roman" w:hAnsi="Times New Roman" w:eastAsia="方正小标宋简体" w:cs="Times New Roman"/>
          <w:sz w:val="44"/>
          <w:szCs w:val="44"/>
          <w:lang w:eastAsia="zh-CN"/>
        </w:rPr>
      </w:pPr>
      <w:bookmarkStart w:id="4" w:name="fbt"/>
      <w:r>
        <w:rPr>
          <w:rFonts w:hint="default" w:ascii="Times New Roman" w:hAnsi="Times New Roman" w:eastAsia="方正小标宋简体" w:cs="Times New Roman"/>
          <w:sz w:val="44"/>
          <w:szCs w:val="44"/>
          <w:lang w:eastAsia="zh-CN"/>
        </w:rPr>
        <w:t>宁德市医疗保障局关于公布经导管二尖瓣</w:t>
      </w:r>
    </w:p>
    <w:p>
      <w:pPr>
        <w:snapToGrid w:val="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成形术等部分医疗服务项目及价格的通知</w:t>
      </w:r>
      <w:bookmarkEnd w:id="4"/>
    </w:p>
    <w:p>
      <w:pPr>
        <w:rPr>
          <w:rFonts w:hint="default" w:ascii="Times New Roman" w:hAnsi="Times New Roman" w:eastAsia="仿宋_GB2312" w:cs="Times New Roman"/>
        </w:rPr>
      </w:pPr>
    </w:p>
    <w:p>
      <w:pPr>
        <w:spacing w:line="560" w:lineRule="exact"/>
        <w:ind w:firstLine="0" w:firstLineChars="0"/>
        <w:rPr>
          <w:rFonts w:hint="default" w:ascii="Times New Roman" w:hAnsi="Times New Roman" w:eastAsia="仿宋_GB2312" w:cs="Times New Roman"/>
        </w:rPr>
      </w:pPr>
      <w:bookmarkStart w:id="5" w:name="fzs"/>
      <w:r>
        <w:rPr>
          <w:rFonts w:hint="default" w:ascii="Times New Roman" w:hAnsi="Times New Roman" w:eastAsia="仿宋_GB2312" w:cs="Times New Roman"/>
          <w:lang w:eastAsia="zh-CN"/>
        </w:rPr>
        <w:t>市医保中心，各县（市、区）医保局，各相关公立医疗机构</w:t>
      </w:r>
      <w:bookmarkEnd w:id="5"/>
      <w:r>
        <w:rPr>
          <w:rFonts w:hint="default" w:ascii="Times New Roman" w:hAnsi="Times New Roman" w:eastAsia="仿宋_GB2312" w:cs="Times New Roman"/>
        </w:rPr>
        <w:t>：</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pacing w:val="0"/>
          <w:sz w:val="32"/>
          <w:szCs w:val="32"/>
          <w:lang w:eastAsia="zh-CN"/>
        </w:rPr>
      </w:pPr>
      <w:bookmarkStart w:id="6" w:name="ffj"/>
      <w:bookmarkEnd w:id="6"/>
      <w:r>
        <w:rPr>
          <w:rFonts w:hint="default" w:ascii="Times New Roman" w:hAnsi="Times New Roman" w:eastAsia="仿宋_GB2312" w:cs="Times New Roman"/>
          <w:spacing w:val="0"/>
          <w:sz w:val="32"/>
          <w:szCs w:val="32"/>
          <w:lang w:eastAsia="zh-CN"/>
        </w:rPr>
        <w:t>为进一步改进和加强医疗服务价格项目管理，适应临床诊疗和价格管理需要，增强现行价格项目对医疗技术和医疗活动改良创新的兼容性，促进新技术新项目临床运用，根据《福建省医疗保障局关于公布经导管二尖瓣形成术等部分医疗服务项目及价格的通知》（闽医保〔</w:t>
      </w:r>
      <w:r>
        <w:rPr>
          <w:rFonts w:hint="default" w:ascii="Times New Roman" w:hAnsi="Times New Roman" w:eastAsia="仿宋_GB2312" w:cs="Times New Roman"/>
          <w:spacing w:val="0"/>
          <w:sz w:val="32"/>
          <w:szCs w:val="32"/>
          <w:lang w:val="en-US" w:eastAsia="zh-CN"/>
        </w:rPr>
        <w:t>2022</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92号</w:t>
      </w:r>
      <w:r>
        <w:rPr>
          <w:rFonts w:hint="default" w:ascii="Times New Roman" w:hAnsi="Times New Roman" w:eastAsia="仿宋_GB2312" w:cs="Times New Roman"/>
          <w:spacing w:val="0"/>
          <w:sz w:val="32"/>
          <w:szCs w:val="32"/>
          <w:lang w:eastAsia="zh-CN"/>
        </w:rPr>
        <w:t>）精神，对部分医疗服务项目及价格进行修订调整。现就有关事项通知如下：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黑体" w:cs="Times New Roman"/>
          <w:b w:val="0"/>
          <w:bCs w:val="0"/>
          <w:sz w:val="32"/>
          <w:szCs w:val="30"/>
          <w:lang w:val="en-US" w:eastAsia="zh-CN"/>
        </w:rPr>
      </w:pPr>
      <w:r>
        <w:rPr>
          <w:rFonts w:hint="default" w:ascii="Times New Roman" w:hAnsi="Times New Roman" w:eastAsia="黑体" w:cs="Times New Roman"/>
          <w:b w:val="0"/>
          <w:bCs w:val="0"/>
          <w:sz w:val="32"/>
          <w:szCs w:val="30"/>
          <w:lang w:val="en-US" w:eastAsia="zh-CN"/>
        </w:rPr>
        <w:t>一、完善价格项目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sz w:val="32"/>
          <w:szCs w:val="30"/>
          <w:lang w:val="en-US" w:eastAsia="zh-CN"/>
        </w:rPr>
      </w:pPr>
      <w:r>
        <w:rPr>
          <w:rFonts w:hint="eastAsia" w:ascii="CESI楷体-GB2312" w:hAnsi="CESI楷体-GB2312" w:eastAsia="CESI楷体-GB2312" w:cs="CESI楷体-GB2312"/>
          <w:b w:val="0"/>
          <w:bCs w:val="0"/>
          <w:sz w:val="32"/>
          <w:szCs w:val="30"/>
          <w:lang w:val="en-US" w:eastAsia="zh-CN"/>
        </w:rPr>
        <w:t>（一）修订现行价格项目。</w:t>
      </w:r>
      <w:r>
        <w:rPr>
          <w:rFonts w:hint="default" w:ascii="Times New Roman" w:hAnsi="Times New Roman" w:eastAsia="仿宋_GB2312" w:cs="Times New Roman"/>
          <w:b w:val="0"/>
          <w:bCs w:val="0"/>
          <w:sz w:val="32"/>
          <w:szCs w:val="30"/>
          <w:lang w:val="en-US" w:eastAsia="zh-CN"/>
        </w:rPr>
        <w:t>修订二尖瓣直视成形术等现行价格项目内涵或说明栏内容，兼容经导管二尖瓣成形术等医疗技术改良创新的项目并制定价格。修订X线计算机体层（CT）平扫等项目内涵或说明栏内容。将正电子发射计算机断层-X计算机体层综合显像（项目编码230400010）修订为正电子发射计算机断层综合显像（项目编码230400011），并相应调整计价单位和说明栏内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sz w:val="32"/>
          <w:szCs w:val="30"/>
          <w:lang w:val="en-US" w:eastAsia="zh-CN"/>
        </w:rPr>
      </w:pPr>
      <w:r>
        <w:rPr>
          <w:rFonts w:hint="default" w:ascii="Times New Roman" w:hAnsi="Times New Roman" w:eastAsia="仿宋_GB2312" w:cs="Times New Roman"/>
          <w:b w:val="0"/>
          <w:bCs w:val="0"/>
          <w:sz w:val="32"/>
          <w:szCs w:val="30"/>
          <w:lang w:val="en-US" w:eastAsia="zh-CN"/>
        </w:rPr>
        <w:t>我市现行价格项目对应的医疗服务因手术入路、术式等技术细节创新、改良、优化尚未明确收费政策的，在不减损患者临床获益的情况下，按现行价格项目收费。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sz w:val="32"/>
          <w:szCs w:val="30"/>
          <w:lang w:val="en-US" w:eastAsia="zh-CN"/>
        </w:rPr>
      </w:pPr>
      <w:r>
        <w:rPr>
          <w:rFonts w:hint="eastAsia" w:ascii="CESI楷体-GB2312" w:hAnsi="CESI楷体-GB2312" w:eastAsia="CESI楷体-GB2312" w:cs="CESI楷体-GB2312"/>
          <w:b w:val="0"/>
          <w:bCs w:val="0"/>
          <w:sz w:val="32"/>
          <w:szCs w:val="30"/>
          <w:lang w:val="en-US" w:eastAsia="zh-CN"/>
        </w:rPr>
        <w:t>（二）整合现行价格项目。</w:t>
      </w:r>
      <w:r>
        <w:rPr>
          <w:rFonts w:hint="default" w:ascii="Times New Roman" w:hAnsi="Times New Roman" w:eastAsia="仿宋_GB2312" w:cs="Times New Roman"/>
          <w:b w:val="0"/>
          <w:bCs w:val="0"/>
          <w:sz w:val="32"/>
          <w:szCs w:val="30"/>
          <w:lang w:val="en-US" w:eastAsia="zh-CN"/>
        </w:rPr>
        <w:t>将现行风疹病毒抗体测定、病毒血清学试验（包括脊髓灰质炎病毒、柯萨奇病毒、流行性乙型脑炎病毒、流行性腮腺炎病毒、麻疹病毒）等病毒抗体检测整合为病毒血清抗体检测（项目编码250403091）；甲型流感病毒抗原检测、呼吸道合胞病毒抗原整合为呼吸道病毒抗原检测（项目编码2504030</w:t>
      </w:r>
      <w:r>
        <w:rPr>
          <w:rFonts w:hint="eastAsia" w:ascii="Times New Roman" w:hAnsi="Times New Roman" w:eastAsia="仿宋_GB2312" w:cs="Times New Roman"/>
          <w:b w:val="0"/>
          <w:bCs w:val="0"/>
          <w:sz w:val="32"/>
          <w:szCs w:val="30"/>
          <w:lang w:val="en-US" w:eastAsia="zh-CN"/>
        </w:rPr>
        <w:t>89</w:t>
      </w:r>
      <w:r>
        <w:rPr>
          <w:rFonts w:hint="default" w:ascii="Times New Roman" w:hAnsi="Times New Roman" w:eastAsia="仿宋_GB2312" w:cs="Times New Roman"/>
          <w:b w:val="0"/>
          <w:bCs w:val="0"/>
          <w:sz w:val="32"/>
          <w:szCs w:val="30"/>
          <w:lang w:val="en-US" w:eastAsia="zh-CN"/>
        </w:rPr>
        <w:t>）</w:t>
      </w:r>
      <w:r>
        <w:rPr>
          <w:rFonts w:hint="eastAsia" w:ascii="Times New Roman" w:hAnsi="Times New Roman" w:eastAsia="仿宋_GB2312" w:cs="Times New Roman"/>
          <w:b w:val="0"/>
          <w:bCs w:val="0"/>
          <w:sz w:val="32"/>
          <w:szCs w:val="30"/>
          <w:lang w:val="en-US" w:eastAsia="zh-CN"/>
        </w:rPr>
        <w:t>；将人轮状病毒抗原测定调整为肠道病毒抗原检测（项目编码250403090）</w:t>
      </w:r>
      <w:r>
        <w:rPr>
          <w:rFonts w:hint="default" w:ascii="Times New Roman" w:hAnsi="Times New Roman" w:eastAsia="仿宋_GB2312" w:cs="Times New Roman"/>
          <w:b w:val="0"/>
          <w:bCs w:val="0"/>
          <w:sz w:val="32"/>
          <w:szCs w:val="30"/>
          <w:lang w:val="en-US" w:eastAsia="zh-CN"/>
        </w:rPr>
        <w:t>。将麻醉项下术中体温监测、呼气末麻醉药浓度等7个项目整合至麻醉中监测实行整体定价，医疗机构根据相关诊疗规范提供相应监测服务按麻醉中监测价格收取，不再区分具体的监测项目，并理顺麻醉中监测除外内容（附件3）。</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sz w:val="32"/>
          <w:szCs w:val="30"/>
          <w:lang w:val="en-US" w:eastAsia="zh-CN"/>
        </w:rPr>
      </w:pPr>
      <w:r>
        <w:rPr>
          <w:rFonts w:hint="eastAsia" w:ascii="CESI楷体-GB2312" w:hAnsi="CESI楷体-GB2312" w:eastAsia="CESI楷体-GB2312" w:cs="CESI楷体-GB2312"/>
          <w:b w:val="0"/>
          <w:bCs w:val="0"/>
          <w:sz w:val="32"/>
          <w:szCs w:val="30"/>
          <w:lang w:val="en-US" w:eastAsia="zh-CN"/>
        </w:rPr>
        <w:t>（三）新增手术辅助操作加收项。</w:t>
      </w:r>
      <w:r>
        <w:rPr>
          <w:rFonts w:hint="default" w:ascii="Times New Roman" w:hAnsi="Times New Roman" w:eastAsia="仿宋_GB2312" w:cs="Times New Roman"/>
          <w:b w:val="0"/>
          <w:bCs w:val="0"/>
          <w:sz w:val="32"/>
          <w:szCs w:val="30"/>
          <w:lang w:val="en-US" w:eastAsia="zh-CN"/>
        </w:rPr>
        <w:t>将微动力辅助操作纳入镫骨手术等24个手术治疗项目加收范围，按规定的标准加收。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sz w:val="32"/>
          <w:szCs w:val="30"/>
          <w:lang w:val="en-US" w:eastAsia="zh-CN"/>
        </w:rPr>
      </w:pPr>
      <w:r>
        <w:rPr>
          <w:rFonts w:hint="eastAsia" w:ascii="CESI楷体-GB2312" w:hAnsi="CESI楷体-GB2312" w:eastAsia="CESI楷体-GB2312" w:cs="CESI楷体-GB2312"/>
          <w:b w:val="0"/>
          <w:bCs w:val="0"/>
          <w:sz w:val="32"/>
          <w:szCs w:val="30"/>
          <w:lang w:val="en-US" w:eastAsia="zh-CN"/>
        </w:rPr>
        <w:t>（四）新增医疗服务价格项目。</w:t>
      </w:r>
      <w:r>
        <w:rPr>
          <w:rFonts w:hint="default" w:ascii="Times New Roman" w:hAnsi="Times New Roman" w:eastAsia="仿宋_GB2312" w:cs="Times New Roman"/>
          <w:b w:val="0"/>
          <w:bCs w:val="0"/>
          <w:sz w:val="32"/>
          <w:szCs w:val="30"/>
          <w:lang w:val="en-US" w:eastAsia="zh-CN"/>
        </w:rPr>
        <w:t>新增淋巴水肿综合消肿疗法、结膜松弛矫正术、半月板缝合术、距腓韧带缝合修补术、胃底折叠术等价格项目，试行期由医疗机构自主定价。试行期手术治疗项目应按照手术项目的技术难度和风险程度，并参照现行同类项目的价格水平合理确定。取消基因芯片技术（项目编码270700004）、麻醉恢复室监护（项目编码330100024）、艺术美容冠（项目编码610000008），麻醉恢复室监护项目取消后，三级医疗机构应根据相关规定进行麻醉恢复。</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黑体" w:cs="Times New Roman"/>
          <w:b w:val="0"/>
          <w:bCs w:val="0"/>
          <w:sz w:val="32"/>
          <w:szCs w:val="30"/>
          <w:lang w:val="en-US" w:eastAsia="zh-CN"/>
        </w:rPr>
      </w:pPr>
      <w:r>
        <w:rPr>
          <w:rFonts w:hint="default" w:ascii="Times New Roman" w:hAnsi="Times New Roman" w:eastAsia="黑体" w:cs="Times New Roman"/>
          <w:b w:val="0"/>
          <w:bCs w:val="0"/>
          <w:sz w:val="32"/>
          <w:szCs w:val="30"/>
          <w:lang w:val="en-US" w:eastAsia="zh-CN"/>
        </w:rPr>
        <w:t>调整项目价格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sz w:val="32"/>
          <w:szCs w:val="30"/>
          <w:lang w:val="en-US" w:eastAsia="zh-CN"/>
        </w:rPr>
      </w:pPr>
      <w:r>
        <w:rPr>
          <w:rFonts w:hint="default" w:ascii="Times New Roman" w:hAnsi="Times New Roman" w:eastAsia="仿宋_GB2312" w:cs="Times New Roman"/>
          <w:b w:val="0"/>
          <w:bCs w:val="0"/>
          <w:sz w:val="32"/>
          <w:szCs w:val="30"/>
          <w:lang w:val="en-US" w:eastAsia="zh-CN"/>
        </w:rPr>
        <w:t>调整混合痔外剥内扎术、静脉高营养治疗等项目价格，制定人工腕关节置换术、人工踝关节置换术等项目价格；正式核定镜像视觉反馈训练、电磁导航支气管镜检查术等试行期到的新增医疗服务价格。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sz w:val="32"/>
          <w:szCs w:val="30"/>
          <w:lang w:val="en-US" w:eastAsia="zh-CN"/>
        </w:rPr>
      </w:pPr>
      <w:r>
        <w:rPr>
          <w:rFonts w:hint="default" w:ascii="Times New Roman" w:hAnsi="Times New Roman" w:eastAsia="仿宋_GB2312" w:cs="Times New Roman"/>
          <w:b w:val="0"/>
          <w:bCs w:val="0"/>
          <w:sz w:val="32"/>
          <w:szCs w:val="30"/>
          <w:lang w:val="en-US" w:eastAsia="zh-CN"/>
        </w:rPr>
        <w:t>以上项目及价格详见附件1</w:t>
      </w:r>
      <w:r>
        <w:rPr>
          <w:rFonts w:hint="default" w:ascii="Times New Roman" w:hAnsi="Times New Roman" w:eastAsia="仿宋_GB2312" w:cs="Times New Roman"/>
          <w:b w:val="0"/>
          <w:bCs w:val="0"/>
          <w:sz w:val="32"/>
          <w:szCs w:val="30"/>
          <w:lang w:eastAsia="zh-CN"/>
        </w:rPr>
        <w:t>，</w:t>
      </w:r>
      <w:r>
        <w:rPr>
          <w:rFonts w:hint="default" w:ascii="Times New Roman" w:hAnsi="Times New Roman" w:eastAsia="仿宋_GB2312" w:cs="Times New Roman"/>
          <w:b w:val="0"/>
          <w:bCs w:val="0"/>
          <w:sz w:val="32"/>
          <w:szCs w:val="30"/>
          <w:lang w:val="en-US" w:eastAsia="zh-CN"/>
        </w:rPr>
        <w:t>调整家庭病床巡诊费等价格详见附件2。</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黑体" w:cs="Times New Roman"/>
          <w:b w:val="0"/>
          <w:bCs w:val="0"/>
          <w:sz w:val="32"/>
          <w:szCs w:val="30"/>
          <w:lang w:val="en-US" w:eastAsia="zh-CN"/>
        </w:rPr>
      </w:pPr>
      <w:r>
        <w:rPr>
          <w:rFonts w:hint="default" w:ascii="Times New Roman" w:hAnsi="Times New Roman" w:eastAsia="黑体" w:cs="Times New Roman"/>
          <w:b w:val="0"/>
          <w:bCs w:val="0"/>
          <w:sz w:val="32"/>
          <w:szCs w:val="30"/>
          <w:lang w:val="en-US" w:eastAsia="zh-CN"/>
        </w:rPr>
        <w:t>医保支付配套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b w:val="0"/>
          <w:bCs w:val="0"/>
          <w:sz w:val="32"/>
          <w:szCs w:val="30"/>
          <w:lang w:val="en-US" w:eastAsia="zh-CN"/>
        </w:rPr>
      </w:pPr>
      <w:r>
        <w:rPr>
          <w:rFonts w:hint="default" w:ascii="Times New Roman" w:hAnsi="Times New Roman" w:eastAsia="仿宋_GB2312" w:cs="Times New Roman"/>
          <w:b w:val="0"/>
          <w:bCs w:val="0"/>
          <w:sz w:val="32"/>
          <w:szCs w:val="30"/>
          <w:lang w:val="en-US" w:eastAsia="zh-CN"/>
        </w:rPr>
        <w:t>新增医疗服务项目试行期按规定暂不纳入医保支付范围；修订及整合的项目医保属性不变；新增辅助操作按规定纳入医保支付范围。</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黑体" w:cs="Times New Roman"/>
          <w:b w:val="0"/>
          <w:bCs w:val="0"/>
          <w:sz w:val="32"/>
          <w:szCs w:val="30"/>
          <w:lang w:val="en-US" w:eastAsia="zh-CN"/>
        </w:rPr>
      </w:pPr>
      <w:r>
        <w:rPr>
          <w:rFonts w:hint="default" w:ascii="Times New Roman" w:hAnsi="Times New Roman" w:eastAsia="黑体" w:cs="Times New Roman"/>
          <w:b w:val="0"/>
          <w:bCs w:val="0"/>
          <w:sz w:val="32"/>
          <w:szCs w:val="30"/>
          <w:lang w:val="en-US" w:eastAsia="zh-CN"/>
        </w:rPr>
        <w:t>相关工作要求</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请市医保中心按照及时做好信息系统调整更新工作。各相关公立医疗机构在开展新增项目试行前，要将拟开展的项目名称、试行价格等内容按规定加盖本单位公章报送市医疗保障部门后执行，并按照本通知有关规定，及时做好收费系统的维护与更新，规范收费行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本通知自2022年9月2</w:t>
      </w:r>
      <w:r>
        <w:rPr>
          <w:rFonts w:hint="default" w:ascii="Times New Roman" w:hAnsi="Times New Roman" w:eastAsia="仿宋_GB2312" w:cs="Times New Roman"/>
          <w:color w:val="auto"/>
          <w:sz w:val="32"/>
          <w:szCs w:val="32"/>
          <w:shd w:val="clear" w:color="auto" w:fill="FFFFFF"/>
          <w:lang w:eastAsia="zh-CN"/>
        </w:rPr>
        <w:t>0</w:t>
      </w:r>
      <w:r>
        <w:rPr>
          <w:rFonts w:hint="default" w:ascii="Times New Roman" w:hAnsi="Times New Roman" w:eastAsia="仿宋_GB2312" w:cs="Times New Roman"/>
          <w:color w:val="auto"/>
          <w:sz w:val="32"/>
          <w:szCs w:val="32"/>
          <w:shd w:val="clear" w:color="auto" w:fill="FFFFFF"/>
          <w:lang w:val="en-US" w:eastAsia="zh-CN"/>
        </w:rPr>
        <w:t>日起执行，以往有关规定与本通知不一致的，以本通知规定为准。</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 w:cs="Times New Roman"/>
          <w:color w:val="auto"/>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Times New Roman" w:hAnsi="Times New Roman" w:eastAsia="仿宋_GB2312" w:cs="Times New Roman"/>
          <w:sz w:val="32"/>
          <w:szCs w:val="30"/>
          <w:lang w:eastAsia="zh-CN"/>
        </w:rPr>
      </w:pPr>
      <w:r>
        <w:rPr>
          <w:rFonts w:hint="default" w:ascii="Times New Roman" w:hAnsi="Times New Roman" w:eastAsia="仿宋_GB2312" w:cs="Times New Roman"/>
          <w:sz w:val="32"/>
          <w:szCs w:val="30"/>
          <w:lang w:eastAsia="zh-CN"/>
        </w:rPr>
        <w:t>附件：</w:t>
      </w:r>
      <w:r>
        <w:rPr>
          <w:rFonts w:hint="default" w:ascii="Times New Roman" w:hAnsi="Times New Roman" w:eastAsia="仿宋_GB2312" w:cs="Times New Roman"/>
          <w:sz w:val="32"/>
          <w:szCs w:val="30"/>
          <w:lang w:val="en-US" w:eastAsia="zh-CN"/>
        </w:rPr>
        <w:t>1.</w:t>
      </w:r>
      <w:r>
        <w:rPr>
          <w:rFonts w:hint="default" w:ascii="Times New Roman" w:hAnsi="Times New Roman" w:eastAsia="仿宋_GB2312" w:cs="Times New Roman"/>
          <w:sz w:val="32"/>
          <w:szCs w:val="30"/>
          <w:lang w:eastAsia="zh-CN"/>
        </w:rPr>
        <w:t>宁德市医疗机构部分医疗服务价格项目及全市各级</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1580" w:firstLineChars="500"/>
        <w:jc w:val="both"/>
        <w:textAlignment w:val="auto"/>
        <w:rPr>
          <w:rFonts w:hint="default" w:ascii="Times New Roman" w:hAnsi="Times New Roman" w:eastAsia="仿宋_GB2312" w:cs="Times New Roman"/>
          <w:sz w:val="32"/>
          <w:szCs w:val="30"/>
          <w:lang w:eastAsia="zh-CN"/>
        </w:rPr>
      </w:pPr>
      <w:r>
        <w:rPr>
          <w:rFonts w:hint="default" w:ascii="Times New Roman" w:hAnsi="Times New Roman" w:eastAsia="仿宋_GB2312" w:cs="Times New Roman"/>
          <w:sz w:val="32"/>
          <w:szCs w:val="30"/>
          <w:lang w:eastAsia="zh-CN"/>
        </w:rPr>
        <w:t>公立医院医疗服务价格</w:t>
      </w:r>
      <w:r>
        <w:rPr>
          <w:rFonts w:hint="default" w:ascii="Times New Roman" w:hAnsi="Times New Roman" w:eastAsia="仿宋_GB2312" w:cs="Times New Roman"/>
          <w:sz w:val="32"/>
          <w:szCs w:val="30"/>
        </w:rPr>
        <w:t xml:space="preserve">  </w:t>
      </w:r>
      <w:r>
        <w:rPr>
          <w:rFonts w:hint="default" w:ascii="Times New Roman" w:hAnsi="Times New Roman" w:eastAsia="仿宋_GB2312" w:cs="Times New Roman"/>
          <w:sz w:val="32"/>
          <w:szCs w:val="30"/>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580" w:firstLineChars="5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2.家庭病床部分服务项目及公立医疗机构价格</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1580" w:firstLineChars="5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3.除外耗材修订表</w:t>
      </w:r>
    </w:p>
    <w:p>
      <w:pPr>
        <w:spacing w:line="560" w:lineRule="exact"/>
        <w:rPr>
          <w:rFonts w:hint="default" w:ascii="Times New Roman" w:hAnsi="Times New Roman" w:eastAsia="仿宋_GB2312" w:cs="Times New Roman"/>
          <w:color w:val="000000"/>
          <w:sz w:val="32"/>
          <w:szCs w:val="32"/>
        </w:rPr>
      </w:pPr>
    </w:p>
    <w:p>
      <w:pPr>
        <w:spacing w:line="560" w:lineRule="exact"/>
        <w:rPr>
          <w:rFonts w:hint="default" w:ascii="Times New Roman" w:hAnsi="Times New Roman" w:eastAsia="仿宋_GB2312" w:cs="Times New Roman"/>
          <w:color w:val="000000"/>
          <w:sz w:val="32"/>
          <w:szCs w:val="32"/>
          <w:lang w:val="en-US" w:eastAsia="zh-CN"/>
        </w:rPr>
      </w:pPr>
      <w:bookmarkStart w:id="7" w:name="fqfrq"/>
      <w:bookmarkEnd w:id="7"/>
      <w:bookmarkStart w:id="8" w:name="fyz"/>
      <w:bookmarkEnd w:id="8"/>
      <w:r>
        <w:rPr>
          <w:rFonts w:hint="default" w:ascii="Times New Roman" w:hAnsi="Times New Roman" w:eastAsia="仿宋_GB2312" w:cs="Times New Roman"/>
          <w:color w:val="000000"/>
          <w:sz w:val="32"/>
          <w:szCs w:val="32"/>
        </w:rPr>
        <w:t>　　</w:t>
      </w:r>
      <w:bookmarkStart w:id="9" w:name="ffz"/>
      <w:bookmarkEnd w:id="9"/>
      <w:r>
        <w:rPr>
          <w:rFonts w:hint="default" w:ascii="Times New Roman" w:hAnsi="Times New Roman" w:eastAsia="仿宋_GB2312" w:cs="Times New Roman"/>
          <w:color w:val="000000"/>
          <w:sz w:val="32"/>
          <w:szCs w:val="32"/>
          <w:lang w:val="en-US" w:eastAsia="zh-CN"/>
        </w:rPr>
        <w:t xml:space="preserve">                         </w:t>
      </w:r>
    </w:p>
    <w:p>
      <w:pPr>
        <w:spacing w:line="560" w:lineRule="exac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宁德市医疗保障局</w:t>
      </w:r>
    </w:p>
    <w:p>
      <w:pPr>
        <w:spacing w:line="560" w:lineRule="exac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2022年9月19日</w:t>
      </w:r>
    </w:p>
    <w:tbl>
      <w:tblPr>
        <w:tblStyle w:val="3"/>
        <w:tblpPr w:leftFromText="180" w:rightFromText="180" w:horzAnchor="margin" w:tblpXSpec="center" w:tblpYSpec="bottom"/>
        <w:tblOverlap w:val="never"/>
        <w:tblW w:w="5000" w:type="pct"/>
        <w:tblInd w:w="0" w:type="dxa"/>
        <w:tblLayout w:type="autofit"/>
        <w:tblCellMar>
          <w:top w:w="0" w:type="dxa"/>
          <w:left w:w="28" w:type="dxa"/>
          <w:bottom w:w="0" w:type="dxa"/>
          <w:right w:w="28" w:type="dxa"/>
        </w:tblCellMar>
      </w:tblPr>
      <w:tblGrid>
        <w:gridCol w:w="1289"/>
        <w:gridCol w:w="3161"/>
        <w:gridCol w:w="4450"/>
      </w:tblGrid>
      <w:tr>
        <w:tblPrEx>
          <w:tblCellMar>
            <w:top w:w="0" w:type="dxa"/>
            <w:left w:w="28" w:type="dxa"/>
            <w:bottom w:w="0" w:type="dxa"/>
            <w:right w:w="28" w:type="dxa"/>
          </w:tblCellMar>
        </w:tblPrEx>
        <w:trPr>
          <w:trHeight w:val="567" w:hRule="atLeast"/>
        </w:trPr>
        <w:tc>
          <w:tcPr>
            <w:tcW w:w="5000" w:type="pct"/>
            <w:gridSpan w:val="3"/>
            <w:tcBorders>
              <w:top w:val="nil"/>
              <w:left w:val="nil"/>
              <w:bottom w:val="single" w:color="auto" w:sz="12" w:space="0"/>
              <w:right w:val="nil"/>
            </w:tcBorders>
            <w:noWrap w:val="0"/>
            <w:vAlign w:val="top"/>
          </w:tcPr>
          <w:p>
            <w:pPr>
              <w:spacing w:after="0" w:afterAutospacing="0" w:line="560" w:lineRule="exact"/>
              <w:ind w:right="0" w:rightChars="0" w:firstLine="276" w:firstLineChars="100"/>
              <w:textAlignment w:val="bottom"/>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信息公开类型：</w:t>
            </w:r>
            <w:bookmarkStart w:id="10" w:name="fgklx"/>
            <w:r>
              <w:rPr>
                <w:rFonts w:hint="default" w:ascii="Times New Roman" w:hAnsi="Times New Roman" w:eastAsia="仿宋_GB2312" w:cs="Times New Roman"/>
                <w:color w:val="000000"/>
                <w:sz w:val="28"/>
                <w:szCs w:val="28"/>
                <w:lang w:eastAsia="zh-CN"/>
              </w:rPr>
              <w:t>主动公开</w:t>
            </w:r>
            <w:bookmarkEnd w:id="10"/>
          </w:p>
        </w:tc>
      </w:tr>
      <w:tr>
        <w:tblPrEx>
          <w:tblCellMar>
            <w:top w:w="0" w:type="dxa"/>
            <w:left w:w="28" w:type="dxa"/>
            <w:bottom w:w="0" w:type="dxa"/>
            <w:right w:w="28" w:type="dxa"/>
          </w:tblCellMar>
        </w:tblPrEx>
        <w:trPr>
          <w:trHeight w:val="567" w:hRule="atLeast"/>
        </w:trPr>
        <w:tc>
          <w:tcPr>
            <w:tcW w:w="724" w:type="pct"/>
            <w:tcBorders>
              <w:top w:val="single" w:color="auto" w:sz="12" w:space="0"/>
              <w:left w:val="nil"/>
              <w:bottom w:val="single" w:color="auto" w:sz="8" w:space="0"/>
              <w:right w:val="nil"/>
            </w:tcBorders>
            <w:noWrap w:val="0"/>
            <w:vAlign w:val="top"/>
          </w:tcPr>
          <w:p>
            <w:pPr>
              <w:spacing w:after="0" w:afterAutospacing="0" w:line="560" w:lineRule="exact"/>
              <w:ind w:right="0" w:rightChars="0" w:firstLine="276" w:firstLineChars="1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抄送： </w:t>
            </w:r>
          </w:p>
        </w:tc>
        <w:tc>
          <w:tcPr>
            <w:tcW w:w="4276" w:type="pct"/>
            <w:gridSpan w:val="2"/>
            <w:tcBorders>
              <w:top w:val="single" w:color="auto" w:sz="12" w:space="0"/>
              <w:left w:val="nil"/>
              <w:bottom w:val="single" w:color="auto" w:sz="8" w:space="0"/>
              <w:right w:val="nil"/>
            </w:tcBorders>
            <w:noWrap w:val="0"/>
            <w:vAlign w:val="top"/>
          </w:tcPr>
          <w:p>
            <w:pPr>
              <w:spacing w:after="0" w:afterAutospacing="0" w:line="560" w:lineRule="exact"/>
              <w:ind w:right="0" w:rightChars="0"/>
              <w:textAlignment w:val="bottom"/>
              <w:rPr>
                <w:rFonts w:hint="default" w:ascii="Times New Roman" w:hAnsi="Times New Roman" w:eastAsia="仿宋_GB2312" w:cs="Times New Roman"/>
                <w:color w:val="000000"/>
                <w:sz w:val="28"/>
                <w:szCs w:val="28"/>
                <w:lang w:eastAsia="zh-CN"/>
              </w:rPr>
            </w:pPr>
            <w:bookmarkStart w:id="11" w:name="fcs"/>
            <w:r>
              <w:rPr>
                <w:rFonts w:hint="default" w:ascii="Times New Roman" w:hAnsi="Times New Roman" w:eastAsia="仿宋_GB2312" w:cs="Times New Roman"/>
                <w:color w:val="000000"/>
                <w:sz w:val="28"/>
                <w:szCs w:val="28"/>
                <w:lang w:eastAsia="zh-CN"/>
              </w:rPr>
              <w:t>福建省医疗保障局，宁德市卫生健康委员会</w:t>
            </w:r>
            <w:bookmarkEnd w:id="11"/>
          </w:p>
        </w:tc>
      </w:tr>
      <w:tr>
        <w:tblPrEx>
          <w:tblCellMar>
            <w:top w:w="0" w:type="dxa"/>
            <w:left w:w="28" w:type="dxa"/>
            <w:bottom w:w="0" w:type="dxa"/>
            <w:right w:w="28" w:type="dxa"/>
          </w:tblCellMar>
        </w:tblPrEx>
        <w:trPr>
          <w:trHeight w:val="510" w:hRule="atLeast"/>
        </w:trPr>
        <w:tc>
          <w:tcPr>
            <w:tcW w:w="2500" w:type="pct"/>
            <w:gridSpan w:val="2"/>
            <w:tcBorders>
              <w:top w:val="single" w:color="auto" w:sz="8" w:space="0"/>
              <w:left w:val="nil"/>
              <w:bottom w:val="single" w:color="auto" w:sz="12" w:space="0"/>
              <w:right w:val="nil"/>
            </w:tcBorders>
            <w:noWrap w:val="0"/>
            <w:vAlign w:val="bottom"/>
          </w:tcPr>
          <w:p>
            <w:pPr>
              <w:spacing w:after="0" w:line="560" w:lineRule="exact"/>
              <w:ind w:right="0" w:rightChars="0" w:firstLine="276" w:firstLineChars="100"/>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宁德市医疗保障局办公室</w:t>
            </w:r>
          </w:p>
        </w:tc>
        <w:tc>
          <w:tcPr>
            <w:tcW w:w="2500" w:type="pct"/>
            <w:tcBorders>
              <w:top w:val="single" w:color="auto" w:sz="8" w:space="0"/>
              <w:left w:val="nil"/>
              <w:bottom w:val="single" w:color="auto" w:sz="12" w:space="0"/>
              <w:right w:val="nil"/>
            </w:tcBorders>
            <w:noWrap w:val="0"/>
            <w:vAlign w:val="bottom"/>
          </w:tcPr>
          <w:p>
            <w:pPr>
              <w:wordWrap w:val="0"/>
              <w:spacing w:after="0" w:afterAutospacing="0" w:line="560" w:lineRule="exact"/>
              <w:ind w:right="0" w:rightChars="0" w:firstLine="828" w:firstLineChars="300"/>
              <w:jc w:val="right"/>
              <w:textAlignment w:val="bottom"/>
              <w:rPr>
                <w:rFonts w:hint="default" w:ascii="Times New Roman" w:hAnsi="Times New Roman" w:eastAsia="仿宋_GB2312" w:cs="Times New Roman"/>
                <w:color w:val="000000"/>
                <w:sz w:val="32"/>
                <w:szCs w:val="32"/>
              </w:rPr>
            </w:pPr>
            <w:bookmarkStart w:id="12" w:name="fyfrq"/>
            <w:r>
              <w:rPr>
                <w:rFonts w:hint="eastAsia" w:ascii="仿宋_GB2312" w:hAnsi="仿宋_GB2312" w:eastAsia="仿宋_GB2312" w:cs="仿宋_GB2312"/>
                <w:color w:val="000000"/>
                <w:sz w:val="28"/>
                <w:szCs w:val="32"/>
                <w:lang w:eastAsia="zh-CN"/>
              </w:rPr>
              <w:t>2022年9月</w:t>
            </w:r>
            <w:r>
              <w:rPr>
                <w:rFonts w:hint="eastAsia" w:ascii="仿宋_GB2312" w:hAnsi="仿宋_GB2312" w:eastAsia="仿宋_GB2312" w:cs="仿宋_GB2312"/>
                <w:color w:val="000000"/>
                <w:sz w:val="28"/>
                <w:szCs w:val="32"/>
                <w:lang w:val="en-US" w:eastAsia="zh-CN"/>
              </w:rPr>
              <w:t>19</w:t>
            </w:r>
            <w:r>
              <w:rPr>
                <w:rFonts w:hint="eastAsia" w:ascii="仿宋_GB2312" w:hAnsi="仿宋_GB2312" w:eastAsia="仿宋_GB2312" w:cs="仿宋_GB2312"/>
                <w:color w:val="000000"/>
                <w:sz w:val="28"/>
                <w:szCs w:val="32"/>
                <w:lang w:eastAsia="zh-CN"/>
              </w:rPr>
              <w:t>日</w:t>
            </w:r>
            <w:bookmarkEnd w:id="12"/>
            <w:r>
              <w:rPr>
                <w:rFonts w:hint="eastAsia" w:ascii="仿宋_GB2312" w:hAnsi="仿宋_GB2312" w:eastAsia="仿宋_GB2312" w:cs="仿宋_GB2312"/>
                <w:color w:val="000000"/>
                <w:sz w:val="28"/>
                <w:szCs w:val="32"/>
              </w:rPr>
              <w:t>印发</w:t>
            </w:r>
            <w:r>
              <w:rPr>
                <w:rFonts w:hint="default" w:ascii="Times New Roman" w:hAnsi="Times New Roman" w:eastAsia="仿宋_GB2312" w:cs="Times New Roman"/>
                <w:color w:val="000000"/>
                <w:sz w:val="32"/>
                <w:szCs w:val="32"/>
              </w:rPr>
              <w:t xml:space="preserve">  </w:t>
            </w:r>
          </w:p>
        </w:tc>
      </w:tr>
    </w:tbl>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rPr>
      </w:pPr>
      <w:bookmarkStart w:id="13" w:name="_GoBack"/>
      <w:bookmarkEnd w:id="13"/>
    </w:p>
    <w:p/>
    <w:sectPr>
      <w:headerReference r:id="rId3" w:type="default"/>
      <w:footerReference r:id="rId5" w:type="default"/>
      <w:headerReference r:id="rId4" w:type="even"/>
      <w:footerReference r:id="rId6" w:type="even"/>
      <w:pgSz w:w="11906" w:h="16838"/>
      <w:pgMar w:top="2098" w:right="1474" w:bottom="1814" w:left="1588" w:header="851" w:footer="992" w:gutter="0"/>
      <w:pgNumType w:fmt="numberInDash"/>
      <w:cols w:space="720" w:num="1"/>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微软雅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文泉驿微米黑"/>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jc w:val="right"/>
      <w:rPr>
        <w:rFonts w:hint="eastAsia" w:ascii="宋体" w:hAnsi="宋体"/>
        <w:sz w:val="28"/>
        <w:szCs w:val="28"/>
      </w:rPr>
    </w:pPr>
    <w:r>
      <w:rPr>
        <w:rFonts w:ascii="宋体" w:hAnsi="宋体"/>
        <w:sz w:val="28"/>
        <w:szCs w:val="28"/>
      </w:rPr>
      <w:fldChar w:fldCharType="begin"/>
    </w:r>
    <w:r>
      <w:rPr>
        <w:rStyle w:val="5"/>
        <w:rFonts w:ascii="宋体" w:hAnsi="宋体"/>
        <w:sz w:val="28"/>
        <w:szCs w:val="28"/>
      </w:rPr>
      <w:instrText xml:space="preserve"> PAGE </w:instrText>
    </w:r>
    <w:r>
      <w:rPr>
        <w:rFonts w:ascii="宋体" w:hAnsi="宋体"/>
        <w:sz w:val="28"/>
        <w:szCs w:val="28"/>
      </w:rPr>
      <w:fldChar w:fldCharType="separate"/>
    </w:r>
    <w:r>
      <w:rPr>
        <w:rStyle w:val="5"/>
        <w:rFonts w:ascii="宋体" w:hAnsi="宋体"/>
        <w:sz w:val="28"/>
        <w:szCs w:val="28"/>
      </w:rPr>
      <w:t>- 1 -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rPr>
        <w:rFonts w:hint="eastAsia" w:ascii="宋体" w:hAnsi="宋体"/>
        <w:sz w:val="28"/>
        <w:szCs w:val="28"/>
      </w:rPr>
    </w:pPr>
    <w:r>
      <w:rPr>
        <w:rFonts w:ascii="宋体" w:hAnsi="宋体"/>
        <w:sz w:val="28"/>
        <w:szCs w:val="28"/>
      </w:rPr>
      <w:fldChar w:fldCharType="begin"/>
    </w:r>
    <w:r>
      <w:rPr>
        <w:rStyle w:val="5"/>
        <w:rFonts w:ascii="宋体" w:hAnsi="宋体"/>
        <w:sz w:val="28"/>
        <w:szCs w:val="28"/>
      </w:rPr>
      <w:instrText xml:space="preserve"> PAGE </w:instrText>
    </w:r>
    <w:r>
      <w:rPr>
        <w:rFonts w:ascii="宋体" w:hAnsi="宋体"/>
        <w:sz w:val="28"/>
        <w:szCs w:val="28"/>
      </w:rPr>
      <w:fldChar w:fldCharType="separate"/>
    </w:r>
    <w:r>
      <w:rPr>
        <w:rStyle w:val="5"/>
        <w:rFonts w:ascii="宋体" w:hAnsi="宋体"/>
        <w:sz w:val="28"/>
        <w:szCs w:val="28"/>
      </w:rPr>
      <w:t>- 2 -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01D43"/>
    <w:multiLevelType w:val="singleLevel"/>
    <w:tmpl w:val="D5201D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36559"/>
    <w:rsid w:val="51636559"/>
    <w:rsid w:val="F61F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2022-09-19T18:44:00Z</dcterms:created>
  <dc:creator>钟雯凤</dc:creator>
  <cp:lastModifiedBy>guest</cp:lastModifiedBy>
  <dcterms:modified xsi:type="dcterms:W3CDTF">2022-09-20T08:16:21Z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