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宁德市区域点数法总额预算和按病种分值付费（DIP）质量评价年度考核评分表</w:t>
            </w:r>
          </w:p>
        </w:tc>
      </w:tr>
    </w:tbl>
    <w:p/>
    <w:tbl>
      <w:tblPr>
        <w:tblStyle w:val="4"/>
        <w:tblW w:w="13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900"/>
        <w:gridCol w:w="2805"/>
        <w:gridCol w:w="1050"/>
        <w:gridCol w:w="7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二级指标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(</w:t>
            </w:r>
            <w:r>
              <w:rPr>
                <w:rStyle w:val="7"/>
                <w:color w:val="auto"/>
                <w:sz w:val="22"/>
                <w:szCs w:val="22"/>
                <w:lang w:bidi="ar"/>
              </w:rPr>
              <w:t>一）门诊运行评价指标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门诊人均总费用增长率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1.指标口径：门诊人均总费用增长率=（本年度门诊人均总费用/上年度门诊人均总费用-1）*100%；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2.计算时不含国谈药品费用；一级医疗机构不考核；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3.计分方式：对比同等级医疗机构门诊人均总费用增长率，每高1%的，扣1分，扣完为止；</w:t>
            </w:r>
          </w:p>
          <w:p>
            <w:pPr>
              <w:widowControl/>
              <w:jc w:val="left"/>
              <w:textAlignment w:val="center"/>
              <w:rPr>
                <w:color w:val="auto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4.考核方式：按照系统提取数据评定。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年度门诊人次人头比</w:t>
            </w:r>
          </w:p>
          <w:p>
            <w:pPr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增长率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1.指标口径：年度门诊人次人头比增长率=（本年度人次人头比/上年度人次人头比-1）*100%；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2.计分方式：对比同等级医疗机构年度门诊人次人头比增长率，每高1%的，扣1分，扣完为止；</w:t>
            </w:r>
          </w:p>
          <w:p>
            <w:pPr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3.考核方式：按照系统提取数据评定。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(二）住院运行评价指标</w:t>
            </w:r>
          </w:p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44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年度住院人次人头比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增长率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指标口径：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年度住院人次人头比增长率=（本年度人次人头比/上年度人次人头比-1）*100%；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计分方式：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对比同等级医疗机构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年度住院人次人头比增长率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，每高1%的，扣1分，扣完为止；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3.考核方式：按照系统提取数据评定。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住院人均总费用增长率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指标口径：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住院人均总费用增长率=（本年度住院人均总费用/上年度住院人均总费用-1）*100%；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2.计分方式：对比同等级医疗机构住院人均总费用增长率，每高1%的，扣1分，扣完为止；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3.考核方式：按照系统提取数据评定。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住院次均费用增长率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指标口径：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住院次均费用增长率=（本年度住院次均费用/上年度住院次均费用-1）*100%；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2.计分方式：对比同等级医疗机构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住院次均费用增长率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，每高1%的，扣1分，扣完为止；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3.考核方式：按照系统提取数据评定。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未特指主诊病例占比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1.指标口径：未特指主诊病例占比=主诊断亚目代码以(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.8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或.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)结尾的病例数 /结算清单总上传数量*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2.计分方式：对比同等级医疗机构未特指主诊病例占比，每高1%的，扣0.5分，扣完为止；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3.考核方式：按照系统提取数据评定。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核心病种入组率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10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pStyle w:val="2"/>
              <w:spacing w:line="240" w:lineRule="auto"/>
              <w:jc w:val="left"/>
              <w:outlineLvl w:val="1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2"/>
                <w:szCs w:val="22"/>
                <w:lang w:bidi="ar"/>
              </w:rPr>
              <w:t>1.指标口径：核心病种入组率=DIP核心病种入组病例数/医院DIP结算总病例数*100%；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2"/>
                <w:szCs w:val="22"/>
                <w:lang w:bidi="ar"/>
              </w:rPr>
              <w:t>2.计分方式：对比同等级医疗机构核心病种入组率，每低1%的，扣0.5分，扣完为止；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bidi="ar"/>
              </w:rPr>
              <w:t>3.考核方式：按照系统提取数据评定。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CMI值变动幅度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1.指标口径：CMI值变动幅度=（本年度CMI值/上年度CMI值-1）*100%；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2.计分方式：与上年度相比，增长或降低幅度超过10%的，幅度每超1%，扣1分，扣完为止；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3.考核方式：按照系统提取数据评定。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CMI资源消耗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1.指标口径：CMI资源消耗=住院次均费用/住院病例平均分值*100%；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2.计分方式：低于同等级医院CMI资源消耗的得满分，高于同等级医院CMI资源消耗的，每高1%的，扣0.5分，扣完为止；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3.考核方式：按照系统提取数据评定。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（三）质量管理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宋体"/>
                <w:color w:val="auto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46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结算清单质量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31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及时率：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⑴门诊结算清单上传及时率：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①指标口径：门诊结算清单上传及时率=门诊结算后2日内上传病例数/应上传门诊总病例数*100%；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②计分方式：90%以上得满分，每低1%的，扣0.1分，共5分，扣完为止；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③考核方式：按照系统提取数据评定。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⑵住院结算清单上传及时率：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①指标口径：住院结算清单上传及时率=住院结算后14日内上传病例数/应上传住院总病例数*100%；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②计分方式：90%以上得满分，每低1%的，扣0.1分，共6分，扣完为止；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③考核方式：按照系统提取数据评定。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2.完整率：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⑴门诊结算清单上传率：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①指标口径：门诊结算清单上传率=结算清单上传数量/门诊总病例数*100%；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②计分方式：结算清单上传率100%满分，每低0.2%扣1分，共4分，扣完为止；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③考核方式：按照系统提取数据评定；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⑵住院结算清单上传率：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①指标口径：住院结算清单上传率=结算清单上传数量/门住院总病例数*100%；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②计分方式：结算清单上传率100%满分，每低0.2%扣1分，共4分，扣完为止；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③考核方式：按照系统提取数据评定；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⑶住院结算清单二次质控：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①指标口径：按结算清单技术规范，以DIP系统地市专区二次质控（事后质控）通过率作为指标，结算清单质量=二次质控(（事后质控）)结算清单通过数量/结算清单总上传数量；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②计分方式：通过率100%为满分，每低1%的，扣1分，共2分，扣完为止；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③考核方式：按照系统提取数据评定。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3.准确率：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⑴指标口径：发现存在将不能作为主要诊断的编码作为主诊断、主要诊断与手术操作不符、滥用未特指编码等问题；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⑵计分方式：现场抽查病例，三级医疗机构（包含三甲、三乙）抽查100份病例，二级医疗机构（包含二甲、二乙）抽查50份病例，一级医疗机构抽查30份病例，每发现1例，扣0.3分，共10分，扣完为止；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⑶考核方式：稽核汇总提供数据。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40"/>
                <w:szCs w:val="40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医疗行为规范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15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1.指标口径：发现存在编码高套、转嫁费用、分解住院的等行为；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2.考核标准：每发现1例，扣0.3分，扣完为止；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3.考核方式：稽核汇总提供数据。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（四）工作加分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专家配合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70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积极响应参与DIP相关审核工作和专家论证会；派遣专家帮助医保进行DIP相关培训授课、稽核等工作的；每人次0.2分，最高加3分。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备注：1.“门诊结算清单上传率”和“住院结算清单上传率”指标的计分方式按四舍五入后取小数点后一位来扣减分数。</w:t>
      </w:r>
    </w:p>
    <w:p>
      <w:pPr>
        <w:widowControl/>
        <w:ind w:firstLine="660" w:firstLineChars="300"/>
        <w:jc w:val="left"/>
        <w:textAlignment w:val="center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2.除“门诊结算清单上传率”和“住院结算清单上传率”指标外的指标计分方式按四舍五入后取整来扣减分数。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auto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bidi="ar"/>
        </w:rPr>
        <w:t xml:space="preserve"> 3.指标计分方式涉及对比同等级医疗机构的，该“同等级医疗机构”指三甲、三乙、二甲、二乙和一级5个等级。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A95B9"/>
    <w:multiLevelType w:val="singleLevel"/>
    <w:tmpl w:val="C16A95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3FC1E8"/>
    <w:multiLevelType w:val="singleLevel"/>
    <w:tmpl w:val="D33FC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4F4F593"/>
    <w:multiLevelType w:val="singleLevel"/>
    <w:tmpl w:val="04F4F5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MDQxODdlYWU0Zjk0YmJkMTE0MWZlMmJkMDY1Y2UifQ=="/>
  </w:docVars>
  <w:rsids>
    <w:rsidRoot w:val="00000000"/>
    <w:rsid w:val="654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ybjbgs05</dc:creator>
  <cp:lastModifiedBy>白芷</cp:lastModifiedBy>
  <dcterms:modified xsi:type="dcterms:W3CDTF">2024-02-05T07:56:37Z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365663F028F6494D86C26CA8A77B77C7_12</vt:lpwstr>
  </property>
</Properties>
</file>