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9C18B">
      <w:pPr>
        <w:spacing w:line="560" w:lineRule="exact"/>
        <w:rPr>
          <w:rFonts w:hint="default" w:ascii="Times New Roman" w:hAnsi="Times New Roman" w:eastAsia="方正小标宋简体" w:cs="Times New Roman"/>
          <w:kern w:val="0"/>
          <w:lang w:bidi="ar"/>
        </w:rPr>
      </w:pPr>
      <w:r>
        <w:rPr>
          <w:rFonts w:hint="default" w:ascii="Times New Roman" w:hAnsi="Times New Roman" w:eastAsia="方正小标宋简体" w:cs="Times New Roman"/>
          <w:kern w:val="0"/>
          <w:lang w:bidi="ar"/>
        </w:rPr>
        <w:t xml:space="preserve">附件     </w:t>
      </w:r>
    </w:p>
    <w:p w14:paraId="1327CE31">
      <w:pPr>
        <w:spacing w:line="560" w:lineRule="exact"/>
        <w:jc w:val="center"/>
        <w:rPr>
          <w:rFonts w:hint="default" w:ascii="Times New Roman" w:hAnsi="Times New Roman" w:eastAsia="方正小标宋简体" w:cs="Times New Roman"/>
          <w:kern w:val="0"/>
          <w:sz w:val="36"/>
          <w:szCs w:val="36"/>
          <w:lang w:bidi="ar"/>
        </w:rPr>
      </w:pPr>
    </w:p>
    <w:p w14:paraId="2612F979">
      <w:pPr>
        <w:spacing w:line="560" w:lineRule="exact"/>
        <w:jc w:val="center"/>
        <w:rPr>
          <w:rFonts w:hint="default" w:ascii="Times New Roman" w:hAnsi="Times New Roman" w:eastAsia="仿宋_GB2312" w:cs="Times New Roman"/>
          <w:sz w:val="36"/>
          <w:szCs w:val="36"/>
        </w:rPr>
      </w:pPr>
      <w:r>
        <w:rPr>
          <w:rFonts w:hint="default" w:ascii="Times New Roman" w:hAnsi="Times New Roman" w:eastAsia="方正小标宋简体" w:cs="Times New Roman"/>
          <w:kern w:val="0"/>
          <w:sz w:val="36"/>
          <w:szCs w:val="36"/>
          <w:lang w:bidi="ar"/>
        </w:rPr>
        <w:t>宁德市医疗保障局</w:t>
      </w:r>
      <w:r>
        <w:rPr>
          <w:rFonts w:hint="eastAsia" w:ascii="Times New Roman" w:hAnsi="Times New Roman" w:eastAsia="方正小标宋简体" w:cs="Times New Roman"/>
          <w:kern w:val="0"/>
          <w:sz w:val="36"/>
          <w:szCs w:val="36"/>
          <w:lang w:val="en-US" w:eastAsia="zh-CN" w:bidi="ar"/>
        </w:rPr>
        <w:t>2024年清理</w:t>
      </w:r>
      <w:r>
        <w:rPr>
          <w:rFonts w:hint="default" w:ascii="Times New Roman" w:hAnsi="Times New Roman" w:eastAsia="方正小标宋简体" w:cs="Times New Roman"/>
          <w:kern w:val="0"/>
          <w:sz w:val="36"/>
          <w:szCs w:val="36"/>
          <w:lang w:bidi="ar"/>
        </w:rPr>
        <w:t>规范性文件一览表</w:t>
      </w:r>
    </w:p>
    <w:p w14:paraId="525A0549">
      <w:pPr>
        <w:widowControl/>
        <w:textAlignment w:val="center"/>
        <w:rPr>
          <w:rFonts w:hint="default" w:ascii="Times New Roman" w:hAnsi="Times New Roman" w:eastAsia="仿宋_GB2312" w:cs="Times New Roman"/>
          <w:b/>
          <w:kern w:val="0"/>
          <w:sz w:val="20"/>
          <w:szCs w:val="20"/>
          <w:lang w:bidi="ar"/>
        </w:rPr>
      </w:pPr>
    </w:p>
    <w:tbl>
      <w:tblPr>
        <w:tblStyle w:val="2"/>
        <w:tblW w:w="8883" w:type="dxa"/>
        <w:jc w:val="center"/>
        <w:tblLayout w:type="fixed"/>
        <w:tblCellMar>
          <w:top w:w="0" w:type="dxa"/>
          <w:left w:w="0" w:type="dxa"/>
          <w:bottom w:w="0" w:type="dxa"/>
          <w:right w:w="0" w:type="dxa"/>
        </w:tblCellMar>
      </w:tblPr>
      <w:tblGrid>
        <w:gridCol w:w="471"/>
        <w:gridCol w:w="3516"/>
        <w:gridCol w:w="2241"/>
        <w:gridCol w:w="840"/>
        <w:gridCol w:w="1815"/>
      </w:tblGrid>
      <w:tr w14:paraId="309C7047">
        <w:tblPrEx>
          <w:tblCellMar>
            <w:top w:w="0" w:type="dxa"/>
            <w:left w:w="0" w:type="dxa"/>
            <w:bottom w:w="0" w:type="dxa"/>
            <w:right w:w="0" w:type="dxa"/>
          </w:tblCellMar>
        </w:tblPrEx>
        <w:trPr>
          <w:trHeight w:val="544" w:hRule="atLeast"/>
          <w:jc w:val="center"/>
        </w:trPr>
        <w:tc>
          <w:tcPr>
            <w:tcW w:w="4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BA1358">
            <w:pPr>
              <w:widowControl/>
              <w:spacing w:beforeLines="0" w:afterLines="0" w:line="400" w:lineRule="exact"/>
              <w:jc w:val="center"/>
              <w:textAlignment w:val="center"/>
              <w:rPr>
                <w:rFonts w:ascii="Times New Roman" w:hAnsi="Times New Roman" w:eastAsia="仿宋_GB2312" w:cs="Times New Roman"/>
                <w:b/>
                <w:sz w:val="20"/>
                <w:szCs w:val="20"/>
              </w:rPr>
            </w:pPr>
            <w:r>
              <w:rPr>
                <w:rFonts w:hint="default" w:ascii="Times New Roman" w:hAnsi="Times New Roman" w:eastAsia="仿宋_GB2312" w:cs="Times New Roman"/>
                <w:b/>
                <w:kern w:val="0"/>
                <w:sz w:val="20"/>
                <w:szCs w:val="20"/>
                <w:lang w:bidi="ar"/>
              </w:rPr>
              <w:t>序号</w:t>
            </w:r>
          </w:p>
        </w:tc>
        <w:tc>
          <w:tcPr>
            <w:tcW w:w="3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E5FD32">
            <w:pPr>
              <w:widowControl/>
              <w:spacing w:beforeLines="0" w:afterLines="0" w:line="400" w:lineRule="exact"/>
              <w:jc w:val="center"/>
              <w:textAlignment w:val="center"/>
              <w:rPr>
                <w:rFonts w:hint="default" w:ascii="Times New Roman" w:hAnsi="Times New Roman" w:eastAsia="仿宋_GB2312" w:cs="Times New Roman"/>
                <w:b/>
                <w:sz w:val="20"/>
                <w:szCs w:val="20"/>
              </w:rPr>
            </w:pPr>
            <w:r>
              <w:rPr>
                <w:rFonts w:hint="default" w:ascii="Times New Roman" w:hAnsi="Times New Roman" w:eastAsia="仿宋_GB2312" w:cs="Times New Roman"/>
                <w:b/>
                <w:kern w:val="0"/>
                <w:sz w:val="20"/>
                <w:szCs w:val="20"/>
                <w:lang w:bidi="ar"/>
              </w:rPr>
              <w:t>文件名称</w:t>
            </w:r>
          </w:p>
        </w:tc>
        <w:tc>
          <w:tcPr>
            <w:tcW w:w="22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E095DF">
            <w:pPr>
              <w:widowControl/>
              <w:spacing w:beforeLines="0" w:afterLines="0" w:line="400" w:lineRule="exact"/>
              <w:jc w:val="center"/>
              <w:textAlignment w:val="center"/>
              <w:rPr>
                <w:rFonts w:eastAsia="仿宋_GB2312"/>
                <w:b/>
                <w:sz w:val="20"/>
                <w:szCs w:val="20"/>
              </w:rPr>
            </w:pPr>
            <w:r>
              <w:rPr>
                <w:rFonts w:eastAsia="仿宋_GB2312"/>
                <w:b/>
                <w:kern w:val="0"/>
                <w:sz w:val="20"/>
                <w:szCs w:val="20"/>
                <w:lang w:bidi="ar"/>
              </w:rPr>
              <w:t>文号</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B9D507">
            <w:pPr>
              <w:widowControl/>
              <w:spacing w:beforeLines="0" w:afterLines="0" w:line="400" w:lineRule="exact"/>
              <w:jc w:val="center"/>
              <w:textAlignment w:val="center"/>
              <w:rPr>
                <w:rFonts w:hint="default" w:ascii="Times New Roman" w:hAnsi="Times New Roman" w:eastAsia="仿宋_GB2312" w:cs="Times New Roman"/>
                <w:b/>
                <w:sz w:val="20"/>
                <w:szCs w:val="20"/>
              </w:rPr>
            </w:pPr>
            <w:r>
              <w:rPr>
                <w:rFonts w:hint="default" w:ascii="Times New Roman" w:hAnsi="Times New Roman" w:eastAsia="仿宋_GB2312" w:cs="Times New Roman"/>
                <w:b/>
                <w:kern w:val="0"/>
                <w:sz w:val="20"/>
                <w:szCs w:val="20"/>
                <w:lang w:bidi="ar"/>
              </w:rPr>
              <w:t>清理</w:t>
            </w:r>
            <w:r>
              <w:rPr>
                <w:rFonts w:hint="eastAsia" w:ascii="Times New Roman" w:hAnsi="Times New Roman" w:eastAsia="仿宋_GB2312" w:cs="Times New Roman"/>
                <w:b/>
                <w:kern w:val="0"/>
                <w:sz w:val="20"/>
                <w:szCs w:val="20"/>
                <w:lang w:eastAsia="zh-CN" w:bidi="ar"/>
              </w:rPr>
              <w:t>结果</w:t>
            </w:r>
          </w:p>
        </w:tc>
        <w:tc>
          <w:tcPr>
            <w:tcW w:w="18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337C30">
            <w:pPr>
              <w:widowControl/>
              <w:spacing w:beforeLines="0" w:afterLines="0" w:line="400" w:lineRule="exact"/>
              <w:jc w:val="center"/>
              <w:textAlignment w:val="center"/>
              <w:rPr>
                <w:rFonts w:hint="eastAsia" w:ascii="Times New Roman" w:hAnsi="Times New Roman" w:eastAsia="仿宋_GB2312" w:cs="Times New Roman"/>
                <w:b/>
                <w:kern w:val="0"/>
                <w:sz w:val="20"/>
                <w:szCs w:val="20"/>
                <w:lang w:eastAsia="zh-CN" w:bidi="ar"/>
              </w:rPr>
            </w:pPr>
            <w:r>
              <w:rPr>
                <w:rFonts w:hint="eastAsia" w:ascii="Times New Roman" w:hAnsi="Times New Roman" w:eastAsia="仿宋_GB2312" w:cs="Times New Roman"/>
                <w:b/>
                <w:kern w:val="0"/>
                <w:sz w:val="20"/>
                <w:szCs w:val="20"/>
                <w:lang w:eastAsia="zh-CN" w:bidi="ar"/>
              </w:rPr>
              <w:t>废止</w:t>
            </w:r>
            <w:r>
              <w:rPr>
                <w:rFonts w:hint="eastAsia" w:ascii="Times New Roman" w:hAnsi="Times New Roman" w:eastAsia="仿宋_GB2312" w:cs="Times New Roman"/>
                <w:b/>
                <w:kern w:val="0"/>
                <w:sz w:val="20"/>
                <w:szCs w:val="20"/>
                <w:lang w:val="en-US" w:eastAsia="zh-CN" w:bidi="ar"/>
              </w:rPr>
              <w:t>/修改</w:t>
            </w:r>
            <w:r>
              <w:rPr>
                <w:rFonts w:hint="eastAsia" w:ascii="Times New Roman" w:hAnsi="Times New Roman" w:eastAsia="仿宋_GB2312" w:cs="Times New Roman"/>
                <w:b/>
                <w:kern w:val="0"/>
                <w:sz w:val="20"/>
                <w:szCs w:val="20"/>
                <w:lang w:eastAsia="zh-CN" w:bidi="ar"/>
              </w:rPr>
              <w:t>时间</w:t>
            </w:r>
          </w:p>
        </w:tc>
      </w:tr>
      <w:tr w14:paraId="265DE0DC">
        <w:tblPrEx>
          <w:tblCellMar>
            <w:top w:w="0" w:type="dxa"/>
            <w:left w:w="0" w:type="dxa"/>
            <w:bottom w:w="0" w:type="dxa"/>
            <w:right w:w="0" w:type="dxa"/>
          </w:tblCellMar>
        </w:tblPrEx>
        <w:trPr>
          <w:trHeight w:val="876" w:hRule="atLeast"/>
          <w:jc w:val="center"/>
        </w:trPr>
        <w:tc>
          <w:tcPr>
            <w:tcW w:w="4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16F7E9">
            <w:pPr>
              <w:widowControl/>
              <w:spacing w:beforeLines="0" w:afterLines="0"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1</w:t>
            </w:r>
          </w:p>
        </w:tc>
        <w:tc>
          <w:tcPr>
            <w:tcW w:w="3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AEEEB2">
            <w:pPr>
              <w:widowControl/>
              <w:spacing w:beforeLines="0" w:afterLines="0" w:line="400" w:lineRule="exact"/>
              <w:ind w:firstLine="0" w:firstLine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《宁德市医疗保障局关于第一批中医病种按病种分值付费（DIP）试行的通知》</w:t>
            </w:r>
          </w:p>
        </w:tc>
        <w:tc>
          <w:tcPr>
            <w:tcW w:w="22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38F56D">
            <w:pPr>
              <w:widowControl/>
              <w:spacing w:beforeLines="0" w:afterLines="0"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宁医保〔2022〕81号</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EDB27F">
            <w:pPr>
              <w:widowControl/>
              <w:spacing w:beforeLines="0" w:afterLines="0"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废止</w:t>
            </w:r>
          </w:p>
        </w:tc>
        <w:tc>
          <w:tcPr>
            <w:tcW w:w="18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958A13">
            <w:pPr>
              <w:widowControl/>
              <w:spacing w:beforeLines="0" w:afterLines="0" w:line="400" w:lineRule="exact"/>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sz w:val="22"/>
                <w:szCs w:val="22"/>
              </w:rPr>
              <w:t>2023年12月22日</w:t>
            </w:r>
          </w:p>
        </w:tc>
      </w:tr>
      <w:tr w14:paraId="5C99CD92">
        <w:tblPrEx>
          <w:tblCellMar>
            <w:top w:w="0" w:type="dxa"/>
            <w:left w:w="0" w:type="dxa"/>
            <w:bottom w:w="0" w:type="dxa"/>
            <w:right w:w="0" w:type="dxa"/>
          </w:tblCellMar>
        </w:tblPrEx>
        <w:trPr>
          <w:trHeight w:val="1303" w:hRule="atLeast"/>
          <w:jc w:val="center"/>
        </w:trPr>
        <w:tc>
          <w:tcPr>
            <w:tcW w:w="4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D29D1F">
            <w:pPr>
              <w:widowControl/>
              <w:spacing w:beforeLines="0" w:afterLines="0"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2</w:t>
            </w:r>
          </w:p>
        </w:tc>
        <w:tc>
          <w:tcPr>
            <w:tcW w:w="3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6DCC46">
            <w:pPr>
              <w:widowControl/>
              <w:spacing w:beforeLines="0" w:afterLines="0" w:line="400" w:lineRule="exact"/>
              <w:ind w:firstLine="0" w:firstLine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宁德市医疗保障局关于印发2022年度区域点数法总额预算和按病种分值付费（DIP）工作考核办法的通知》</w:t>
            </w:r>
          </w:p>
        </w:tc>
        <w:tc>
          <w:tcPr>
            <w:tcW w:w="22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E1DDED">
            <w:pPr>
              <w:widowControl/>
              <w:spacing w:beforeLines="0" w:afterLines="0"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宁医保〔2022〕103号</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80F3CB">
            <w:pPr>
              <w:widowControl/>
              <w:spacing w:beforeLines="0" w:afterLines="0"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废止</w:t>
            </w:r>
          </w:p>
        </w:tc>
        <w:tc>
          <w:tcPr>
            <w:tcW w:w="18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CA44E0">
            <w:pPr>
              <w:widowControl/>
              <w:spacing w:beforeLines="0" w:afterLines="0" w:line="400" w:lineRule="exact"/>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sz w:val="24"/>
                <w:szCs w:val="24"/>
              </w:rPr>
              <w:t>2024年2月4日</w:t>
            </w:r>
          </w:p>
        </w:tc>
      </w:tr>
      <w:tr w14:paraId="6F88D132">
        <w:tblPrEx>
          <w:tblCellMar>
            <w:top w:w="0" w:type="dxa"/>
            <w:left w:w="0" w:type="dxa"/>
            <w:bottom w:w="0" w:type="dxa"/>
            <w:right w:w="0" w:type="dxa"/>
          </w:tblCellMar>
        </w:tblPrEx>
        <w:trPr>
          <w:trHeight w:val="1303" w:hRule="atLeast"/>
          <w:jc w:val="center"/>
        </w:trPr>
        <w:tc>
          <w:tcPr>
            <w:tcW w:w="4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49F213">
            <w:pPr>
              <w:widowControl/>
              <w:spacing w:beforeLines="0" w:afterLines="0"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p>
        </w:tc>
        <w:tc>
          <w:tcPr>
            <w:tcW w:w="3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EC3D6D">
            <w:pPr>
              <w:widowControl/>
              <w:spacing w:beforeLines="0" w:afterLines="0" w:line="400" w:lineRule="exact"/>
              <w:ind w:firstLine="0" w:firstLine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rPr>
              <w:t>《宁德市医保局等五部门关于印发宁德市公立医疗机构医用耗材集中带量采购实施方案的通知》</w:t>
            </w:r>
          </w:p>
        </w:tc>
        <w:tc>
          <w:tcPr>
            <w:tcW w:w="22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AC474">
            <w:pPr>
              <w:widowControl/>
              <w:spacing w:beforeLines="0" w:afterLines="0"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rPr>
              <w:t>宁医保〔2021〕103号</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87FEC3">
            <w:pPr>
              <w:widowControl/>
              <w:spacing w:beforeLines="0" w:afterLines="0" w:line="400" w:lineRule="exact"/>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修改</w:t>
            </w:r>
          </w:p>
        </w:tc>
        <w:tc>
          <w:tcPr>
            <w:tcW w:w="18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20DE13">
            <w:pPr>
              <w:widowControl/>
              <w:spacing w:beforeLines="0" w:afterLines="0" w:line="400" w:lineRule="exact"/>
              <w:jc w:val="center"/>
              <w:textAlignment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sz w:val="24"/>
                <w:szCs w:val="24"/>
              </w:rPr>
              <w:t>2024年7月</w:t>
            </w:r>
            <w:r>
              <w:rPr>
                <w:rFonts w:hint="eastAsia" w:ascii="仿宋_GB2312" w:hAnsi="仿宋_GB2312" w:eastAsia="仿宋_GB2312" w:cs="仿宋_GB2312"/>
                <w:sz w:val="24"/>
                <w:szCs w:val="24"/>
                <w:lang w:val="en-US" w:eastAsia="zh-CN"/>
              </w:rPr>
              <w:t>11</w:t>
            </w:r>
            <w:r>
              <w:rPr>
                <w:rFonts w:hint="eastAsia" w:ascii="仿宋_GB2312" w:hAnsi="仿宋_GB2312" w:eastAsia="仿宋_GB2312" w:cs="仿宋_GB2312"/>
                <w:sz w:val="24"/>
                <w:szCs w:val="24"/>
              </w:rPr>
              <w:t>日</w:t>
            </w:r>
          </w:p>
        </w:tc>
      </w:tr>
      <w:tr w14:paraId="5DD4C182">
        <w:tblPrEx>
          <w:tblCellMar>
            <w:top w:w="0" w:type="dxa"/>
            <w:left w:w="0" w:type="dxa"/>
            <w:bottom w:w="0" w:type="dxa"/>
            <w:right w:w="0" w:type="dxa"/>
          </w:tblCellMar>
        </w:tblPrEx>
        <w:trPr>
          <w:trHeight w:val="1532" w:hRule="atLeast"/>
          <w:jc w:val="center"/>
        </w:trPr>
        <w:tc>
          <w:tcPr>
            <w:tcW w:w="4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8080B5">
            <w:pPr>
              <w:widowControl/>
              <w:spacing w:beforeLines="0" w:afterLines="0"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p>
        </w:tc>
        <w:tc>
          <w:tcPr>
            <w:tcW w:w="3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10BC14">
            <w:pPr>
              <w:widowControl/>
              <w:spacing w:beforeLines="0" w:afterLines="0" w:line="400" w:lineRule="exact"/>
              <w:ind w:firstLine="0" w:firstLine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宁德市医疗保障局关于第一批中西医“同病同效同分值”中医病种试行的通知</w:t>
            </w:r>
            <w:r>
              <w:rPr>
                <w:rFonts w:hint="eastAsia" w:ascii="仿宋_GB2312" w:hAnsi="仿宋_GB2312" w:eastAsia="仿宋_GB2312" w:cs="仿宋_GB2312"/>
                <w:color w:val="auto"/>
                <w:kern w:val="0"/>
                <w:sz w:val="24"/>
                <w:szCs w:val="24"/>
                <w:lang w:eastAsia="zh-CN" w:bidi="ar"/>
              </w:rPr>
              <w:t>》</w:t>
            </w:r>
          </w:p>
        </w:tc>
        <w:tc>
          <w:tcPr>
            <w:tcW w:w="22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3811AA">
            <w:pPr>
              <w:widowControl/>
              <w:spacing w:beforeLines="0" w:afterLines="0"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auto"/>
                <w:kern w:val="0"/>
                <w:sz w:val="24"/>
                <w:szCs w:val="24"/>
                <w:lang w:bidi="ar"/>
              </w:rPr>
              <w:t>宁医保规〔2023〕10号</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44B89B">
            <w:pPr>
              <w:widowControl/>
              <w:spacing w:beforeLines="0" w:afterLines="0" w:line="400" w:lineRule="exact"/>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废止</w:t>
            </w:r>
          </w:p>
        </w:tc>
        <w:tc>
          <w:tcPr>
            <w:tcW w:w="18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075AEF">
            <w:pPr>
              <w:widowControl/>
              <w:spacing w:beforeLines="0" w:afterLines="0" w:line="400" w:lineRule="exact"/>
              <w:jc w:val="center"/>
              <w:textAlignment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2"/>
                <w:szCs w:val="22"/>
                <w:lang w:val="en-US" w:eastAsia="zh-CN" w:bidi="ar"/>
              </w:rPr>
              <w:t>2024年10月21日</w:t>
            </w:r>
          </w:p>
        </w:tc>
      </w:tr>
    </w:tbl>
    <w:p w14:paraId="0B85A30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7D4A18"/>
    <w:rsid w:val="407D4A18"/>
    <w:rsid w:val="5ED81A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color w:val="000000"/>
      <w:kern w:val="2"/>
      <w:sz w:val="32"/>
      <w:szCs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71"/>
    <w:basedOn w:val="3"/>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384</Words>
  <Characters>446</Characters>
  <Lines>0</Lines>
  <Paragraphs>0</Paragraphs>
  <TotalTime>0</TotalTime>
  <ScaleCrop>false</ScaleCrop>
  <LinksUpToDate>false</LinksUpToDate>
  <CharactersWithSpaces>454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2024-12-09T08:46:00Z</dcterms:created>
  <dc:creator>白芷</dc:creator>
  <cp:lastModifiedBy>白芷</cp:lastModifiedBy>
  <dcterms:modified xsi:type="dcterms:W3CDTF">2024-12-09T09:21:49Z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BA4FFF5D52C8455FA461F60BF81C0668_11</vt:lpwstr>
  </property>
</Properties>
</file>